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1" w:rightFromText="181" w:bottomFromText="159" w:vertAnchor="text" w:tblpX="1" w:tblpY="1"/>
        <w:tblOverlap w:val="never"/>
        <w:tblW w:w="14454" w:type="dxa"/>
        <w:tblLayout w:type="fixed"/>
        <w:tblLook w:val="00A0" w:firstRow="1" w:lastRow="0" w:firstColumn="1" w:lastColumn="0" w:noHBand="0" w:noVBand="0"/>
      </w:tblPr>
      <w:tblGrid>
        <w:gridCol w:w="704"/>
        <w:gridCol w:w="1985"/>
        <w:gridCol w:w="7371"/>
        <w:gridCol w:w="1275"/>
        <w:gridCol w:w="1418"/>
        <w:gridCol w:w="1701"/>
      </w:tblGrid>
      <w:tr w:rsidR="007104A8" w:rsidRPr="00FC5F02" w14:paraId="705A1543" w14:textId="77777777" w:rsidTr="00B82309">
        <w:trPr>
          <w:trHeight w:val="1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0DB6E6" w14:textId="77777777" w:rsidR="007104A8" w:rsidRPr="00FC5F02" w:rsidRDefault="007104A8" w:rsidP="009C464F">
            <w:pPr>
              <w:snapToGrid w:val="0"/>
              <w:spacing w:line="256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bCs/>
                <w:sz w:val="24"/>
                <w:szCs w:val="24"/>
                <w:lang w:val="lt-LT"/>
              </w:rPr>
              <w:t xml:space="preserve">Eil. </w:t>
            </w:r>
            <w:proofErr w:type="spellStart"/>
            <w:r w:rsidRPr="00FC5F02">
              <w:rPr>
                <w:rFonts w:cs="Times New Roman"/>
                <w:b/>
                <w:bCs/>
                <w:sz w:val="24"/>
                <w:szCs w:val="24"/>
                <w:lang w:val="lt-LT"/>
              </w:rPr>
              <w:t>nr.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2E814C" w14:textId="77777777" w:rsidR="007104A8" w:rsidRPr="00FC5F02" w:rsidRDefault="007104A8" w:rsidP="009C464F">
            <w:pPr>
              <w:snapToGrid w:val="0"/>
              <w:spacing w:line="256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bCs/>
                <w:sz w:val="24"/>
                <w:szCs w:val="24"/>
                <w:lang w:val="lt-LT"/>
              </w:rPr>
              <w:t>Priemonės ar projekto pavadinimas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234874" w14:textId="2751C51A" w:rsidR="007104A8" w:rsidRPr="00007C2F" w:rsidRDefault="00007C2F" w:rsidP="00007C2F">
            <w:pPr>
              <w:widowControl/>
              <w:jc w:val="center"/>
              <w:textAlignment w:val="baseline"/>
              <w:rPr>
                <w:b/>
                <w:bCs/>
                <w:color w:val="FF0000"/>
                <w:sz w:val="24"/>
                <w:szCs w:val="24"/>
                <w:lang w:val="lt-LT"/>
              </w:rPr>
            </w:pPr>
            <w:r w:rsidRPr="00007C2F">
              <w:rPr>
                <w:b/>
                <w:bCs/>
                <w:sz w:val="24"/>
                <w:szCs w:val="24"/>
                <w:lang w:val="lt-LT"/>
              </w:rPr>
              <w:t xml:space="preserve">Kaišiadorių rajono savivaldybės visuomenės sveikatos rėmimo specialiosios programos 2024 metų įgyvendinimo </w:t>
            </w:r>
            <w:r w:rsidRPr="00007C2F">
              <w:rPr>
                <w:rFonts w:cs="Times New Roman"/>
                <w:b/>
                <w:bCs/>
                <w:sz w:val="24"/>
                <w:szCs w:val="24"/>
                <w:lang w:val="lt-LT" w:eastAsia="lt-LT"/>
              </w:rPr>
              <w:t>r</w:t>
            </w:r>
            <w:r w:rsidR="007104A8" w:rsidRPr="00007C2F">
              <w:rPr>
                <w:rFonts w:cs="Times New Roman"/>
                <w:b/>
                <w:bCs/>
                <w:sz w:val="24"/>
                <w:szCs w:val="24"/>
                <w:lang w:val="lt-LT" w:eastAsia="lt-LT"/>
              </w:rPr>
              <w:t>ezultatai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F701F" w14:textId="77777777" w:rsidR="007104A8" w:rsidRPr="00FC5F02" w:rsidRDefault="007104A8" w:rsidP="009C464F">
            <w:pPr>
              <w:tabs>
                <w:tab w:val="left" w:pos="540"/>
              </w:tabs>
              <w:spacing w:line="256" w:lineRule="auto"/>
              <w:ind w:firstLine="12"/>
              <w:jc w:val="center"/>
              <w:rPr>
                <w:rFonts w:cs="Times New Roman"/>
                <w:b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sz w:val="24"/>
                <w:szCs w:val="24"/>
                <w:lang w:val="lt-LT"/>
              </w:rPr>
              <w:t>Skirta lėšų, Eur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10E7" w14:textId="77777777" w:rsidR="007104A8" w:rsidRPr="00FC5F02" w:rsidRDefault="007104A8" w:rsidP="009C464F">
            <w:pPr>
              <w:tabs>
                <w:tab w:val="left" w:pos="540"/>
              </w:tabs>
              <w:spacing w:line="256" w:lineRule="auto"/>
              <w:ind w:firstLine="12"/>
              <w:jc w:val="center"/>
              <w:rPr>
                <w:rFonts w:cs="Times New Roman"/>
                <w:b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sz w:val="24"/>
                <w:szCs w:val="24"/>
                <w:lang w:val="lt-LT"/>
              </w:rPr>
              <w:t>Panaudota</w:t>
            </w:r>
          </w:p>
          <w:p w14:paraId="0D9E5E3D" w14:textId="77777777" w:rsidR="007104A8" w:rsidRPr="00FC5F02" w:rsidRDefault="007104A8" w:rsidP="009C464F">
            <w:pPr>
              <w:tabs>
                <w:tab w:val="left" w:pos="540"/>
              </w:tabs>
              <w:spacing w:line="256" w:lineRule="auto"/>
              <w:ind w:firstLine="12"/>
              <w:jc w:val="center"/>
              <w:rPr>
                <w:rFonts w:cs="Times New Roman"/>
                <w:b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sz w:val="24"/>
                <w:szCs w:val="24"/>
                <w:lang w:val="lt-LT"/>
              </w:rPr>
              <w:t>lėšų, Eur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2086E" w14:textId="77777777" w:rsidR="007104A8" w:rsidRPr="00FC5F02" w:rsidRDefault="007104A8" w:rsidP="009C464F">
            <w:pPr>
              <w:snapToGrid w:val="0"/>
              <w:spacing w:line="256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FC5F02">
              <w:rPr>
                <w:rFonts w:cs="Times New Roman"/>
                <w:b/>
                <w:bCs/>
                <w:sz w:val="24"/>
                <w:szCs w:val="24"/>
                <w:lang w:val="lt-LT"/>
              </w:rPr>
              <w:t>Vykdytojas</w:t>
            </w:r>
          </w:p>
        </w:tc>
      </w:tr>
      <w:tr w:rsidR="007104A8" w:rsidRPr="00FC5F02" w14:paraId="3E74A50F" w14:textId="77777777" w:rsidTr="00B82309">
        <w:trPr>
          <w:trHeight w:val="453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EE991C" w14:textId="77777777" w:rsidR="007104A8" w:rsidRPr="00F56A10" w:rsidRDefault="007104A8" w:rsidP="009C464F">
            <w:pPr>
              <w:pStyle w:val="Sraopastraipa"/>
              <w:widowControl/>
              <w:tabs>
                <w:tab w:val="left" w:pos="318"/>
                <w:tab w:val="left" w:pos="601"/>
              </w:tabs>
              <w:suppressAutoHyphens w:val="0"/>
              <w:overflowPunct/>
              <w:autoSpaceDE/>
              <w:autoSpaceDN w:val="0"/>
              <w:snapToGrid w:val="0"/>
              <w:spacing w:before="120" w:after="120" w:line="256" w:lineRule="auto"/>
              <w:ind w:left="176"/>
              <w:jc w:val="center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F56A10">
              <w:rPr>
                <w:rFonts w:cs="Times New Roman"/>
                <w:b/>
                <w:sz w:val="24"/>
                <w:szCs w:val="24"/>
                <w:lang w:val="lt-LT"/>
              </w:rPr>
              <w:t>Visuomenės sveikatos rėmimo priemonės</w:t>
            </w:r>
          </w:p>
        </w:tc>
      </w:tr>
      <w:tr w:rsidR="0046601D" w:rsidRPr="00BA0F05" w14:paraId="37D0A39C" w14:textId="77777777" w:rsidTr="00B82309">
        <w:trPr>
          <w:trHeight w:val="219"/>
        </w:trPr>
        <w:tc>
          <w:tcPr>
            <w:tcW w:w="1445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D8553" w14:textId="7540C5FA" w:rsidR="0046601D" w:rsidRPr="00D9450C" w:rsidRDefault="00AD595D" w:rsidP="00D9450C">
            <w:pPr>
              <w:pStyle w:val="Sraopastraipa"/>
              <w:numPr>
                <w:ilvl w:val="0"/>
                <w:numId w:val="19"/>
              </w:numPr>
              <w:tabs>
                <w:tab w:val="center" w:pos="506"/>
                <w:tab w:val="right" w:pos="1012"/>
              </w:tabs>
              <w:snapToGrid w:val="0"/>
              <w:jc w:val="center"/>
              <w:rPr>
                <w:rFonts w:cs="Times New Roman"/>
                <w:b/>
                <w:sz w:val="24"/>
                <w:szCs w:val="24"/>
                <w:lang w:val="lt-LT"/>
              </w:rPr>
            </w:pPr>
            <w:r w:rsidRPr="00D9450C">
              <w:rPr>
                <w:b/>
                <w:iCs/>
                <w:sz w:val="24"/>
                <w:szCs w:val="24"/>
                <w:lang w:val="lt-LT"/>
              </w:rPr>
              <w:t>Neinfekcinių ligų ir traumų profilaktika ir kontrolė</w:t>
            </w:r>
          </w:p>
        </w:tc>
      </w:tr>
      <w:tr w:rsidR="00AD595D" w:rsidRPr="00BA0F05" w14:paraId="6F66CC91" w14:textId="77777777" w:rsidTr="00B82309">
        <w:trPr>
          <w:trHeight w:val="239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CBF36" w14:textId="45CF424B" w:rsidR="00AD595D" w:rsidRDefault="00AD595D" w:rsidP="00AD595D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1</w:t>
            </w:r>
            <w:r w:rsidRPr="00FC5F02">
              <w:rPr>
                <w:rFonts w:cs="Times New Roman"/>
                <w:sz w:val="24"/>
                <w:szCs w:val="24"/>
                <w:lang w:val="lt-LT"/>
              </w:rPr>
              <w:t>.</w:t>
            </w:r>
            <w:r>
              <w:rPr>
                <w:rFonts w:cs="Times New Roman"/>
                <w:sz w:val="24"/>
                <w:szCs w:val="24"/>
                <w:lang w:val="lt-LT"/>
              </w:rPr>
              <w:t>1</w:t>
            </w:r>
            <w:r w:rsidRPr="00FC5F02">
              <w:rPr>
                <w:rFonts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05DD2" w14:textId="769C685E" w:rsidR="00AD595D" w:rsidRPr="00BA3A52" w:rsidRDefault="00AD595D" w:rsidP="00AD595D">
            <w:pPr>
              <w:snapToGrid w:val="0"/>
              <w:spacing w:line="256" w:lineRule="auto"/>
              <w:jc w:val="both"/>
              <w:rPr>
                <w:bCs/>
                <w:sz w:val="24"/>
                <w:szCs w:val="24"/>
                <w:lang w:val="lt-LT"/>
              </w:rPr>
            </w:pPr>
            <w:r w:rsidRPr="00BA3A52">
              <w:rPr>
                <w:sz w:val="24"/>
                <w:szCs w:val="24"/>
                <w:lang w:val="lt-LT"/>
              </w:rPr>
              <w:t>Profilaktinių vėžio žymenų ėminių priėmimas, registravimas, identifikavimas, laikymas ir ištyrimas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6627A8" w14:textId="3D7FCFB1" w:rsidR="00AD595D" w:rsidRPr="00500141" w:rsidRDefault="00AD595D" w:rsidP="00AD595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50014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C626F7" w:rsidRPr="0050014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 180</w:t>
            </w:r>
            <w:r w:rsidRPr="0050014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  <w:r w:rsidRPr="00500141">
              <w:rPr>
                <w:bCs/>
                <w:sz w:val="24"/>
                <w:szCs w:val="24"/>
                <w:lang w:val="lt-LT"/>
              </w:rPr>
              <w:t xml:space="preserve"> Kaišiadorių </w:t>
            </w:r>
            <w:r w:rsidR="00C626F7" w:rsidRPr="00500141">
              <w:rPr>
                <w:bCs/>
                <w:sz w:val="24"/>
                <w:szCs w:val="24"/>
                <w:lang w:val="lt-LT"/>
              </w:rPr>
              <w:t>rajono gyventojų.</w:t>
            </w:r>
          </w:p>
          <w:p w14:paraId="2BF92ADE" w14:textId="170DAC71" w:rsidR="00C626F7" w:rsidRPr="00500141" w:rsidRDefault="00AD595D" w:rsidP="00C626F7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50014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BA0F05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</w:t>
            </w:r>
            <w:r w:rsidRPr="00500141">
              <w:rPr>
                <w:rFonts w:eastAsiaTheme="minorHAnsi" w:cs="Times New Roman"/>
                <w:sz w:val="24"/>
                <w:szCs w:val="24"/>
                <w:lang w:val="lt-LT" w:eastAsia="en-US"/>
              </w:rPr>
              <w:t>plėtoti sveikatos priežiūros paslaugas</w:t>
            </w:r>
            <w:r w:rsidR="00C626F7" w:rsidRPr="00500141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72C169F3" w14:textId="2F176AF9" w:rsidR="00C626F7" w:rsidRPr="00500141" w:rsidRDefault="00AD595D" w:rsidP="00C626F7">
            <w:pPr>
              <w:snapToGrid w:val="0"/>
              <w:spacing w:line="256" w:lineRule="auto"/>
              <w:ind w:right="35"/>
              <w:jc w:val="both"/>
              <w:rPr>
                <w:color w:val="000000"/>
                <w:sz w:val="24"/>
                <w:szCs w:val="24"/>
                <w:lang w:val="lt-LT"/>
              </w:rPr>
            </w:pPr>
            <w:r w:rsidRPr="0050014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Rezultatas: </w:t>
            </w:r>
            <w:r w:rsidR="00C626F7" w:rsidRPr="00500141">
              <w:rPr>
                <w:color w:val="000000"/>
                <w:sz w:val="24"/>
                <w:szCs w:val="24"/>
                <w:lang w:val="lt-LT"/>
              </w:rPr>
              <w:t xml:space="preserve">priemonėje dalyvių skaičius pagal amžiaus grupes </w:t>
            </w:r>
            <w:r w:rsidR="00500141">
              <w:rPr>
                <w:color w:val="000000"/>
                <w:sz w:val="24"/>
                <w:szCs w:val="24"/>
                <w:lang w:val="lt-LT"/>
              </w:rPr>
              <w:t xml:space="preserve"> </w:t>
            </w:r>
            <w:r w:rsidR="00C626F7" w:rsidRPr="00BA0F05">
              <w:rPr>
                <w:color w:val="000000"/>
                <w:sz w:val="24"/>
                <w:szCs w:val="24"/>
                <w:lang w:val="lt-LT"/>
              </w:rPr>
              <w:t xml:space="preserve">0–14 metų </w:t>
            </w:r>
            <w:r w:rsidR="00BA0F05">
              <w:rPr>
                <w:color w:val="000000"/>
                <w:sz w:val="24"/>
                <w:szCs w:val="24"/>
                <w:lang w:val="lt-LT"/>
              </w:rPr>
              <w:t>–</w:t>
            </w:r>
            <w:r w:rsidR="00C626F7" w:rsidRPr="00BA0F05">
              <w:rPr>
                <w:color w:val="000000"/>
                <w:sz w:val="24"/>
                <w:szCs w:val="24"/>
                <w:lang w:val="lt-LT"/>
              </w:rPr>
              <w:t xml:space="preserve"> 0; 15–29 metų </w:t>
            </w:r>
            <w:r w:rsidR="00BA0F05">
              <w:rPr>
                <w:color w:val="000000"/>
                <w:sz w:val="24"/>
                <w:szCs w:val="24"/>
                <w:lang w:val="lt-LT"/>
              </w:rPr>
              <w:t>–</w:t>
            </w:r>
            <w:r w:rsidR="00C626F7" w:rsidRPr="00BA0F05">
              <w:rPr>
                <w:color w:val="000000"/>
                <w:sz w:val="24"/>
                <w:szCs w:val="24"/>
                <w:lang w:val="lt-LT"/>
              </w:rPr>
              <w:t xml:space="preserve"> 4; 30–60 metų </w:t>
            </w:r>
            <w:r w:rsidR="00BA0F05">
              <w:rPr>
                <w:color w:val="000000"/>
                <w:sz w:val="24"/>
                <w:szCs w:val="24"/>
                <w:lang w:val="lt-LT"/>
              </w:rPr>
              <w:t>–</w:t>
            </w:r>
            <w:r w:rsidR="00C626F7" w:rsidRPr="00BA0F05">
              <w:rPr>
                <w:color w:val="000000"/>
                <w:sz w:val="24"/>
                <w:szCs w:val="24"/>
                <w:lang w:val="lt-LT"/>
              </w:rPr>
              <w:t xml:space="preserve"> 72; daugiau kaip 60 metų </w:t>
            </w:r>
            <w:r w:rsidR="00BA0F05">
              <w:rPr>
                <w:color w:val="000000"/>
                <w:sz w:val="24"/>
                <w:szCs w:val="24"/>
                <w:lang w:val="lt-LT"/>
              </w:rPr>
              <w:t>–</w:t>
            </w:r>
            <w:r w:rsidR="00C626F7" w:rsidRPr="00BA0F05">
              <w:rPr>
                <w:color w:val="000000"/>
                <w:sz w:val="24"/>
                <w:szCs w:val="24"/>
                <w:lang w:val="lt-LT"/>
              </w:rPr>
              <w:t xml:space="preserve"> 61 </w:t>
            </w:r>
            <w:r w:rsidR="00500141" w:rsidRPr="00BA0F05">
              <w:rPr>
                <w:color w:val="000000"/>
                <w:sz w:val="24"/>
                <w:szCs w:val="24"/>
                <w:lang w:val="lt-LT"/>
              </w:rPr>
              <w:t>asm</w:t>
            </w:r>
            <w:r w:rsidR="00BA0F05">
              <w:rPr>
                <w:color w:val="000000"/>
                <w:sz w:val="24"/>
                <w:szCs w:val="24"/>
                <w:lang w:val="lt-LT"/>
              </w:rPr>
              <w:t>uo</w:t>
            </w:r>
            <w:r w:rsidR="00500141" w:rsidRPr="00BA0F05">
              <w:rPr>
                <w:color w:val="000000"/>
                <w:sz w:val="24"/>
                <w:szCs w:val="24"/>
                <w:lang w:val="lt-LT"/>
              </w:rPr>
              <w:t>.</w:t>
            </w:r>
          </w:p>
          <w:p w14:paraId="53B4154A" w14:textId="2DB98B65" w:rsidR="00C626F7" w:rsidRPr="00C626F7" w:rsidRDefault="00BA0F05" w:rsidP="00C626F7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color w:val="000000"/>
                <w:sz w:val="24"/>
                <w:szCs w:val="24"/>
                <w:lang w:val="lt-LT"/>
              </w:rPr>
              <w:t>A</w:t>
            </w:r>
            <w:r w:rsidR="00C626F7" w:rsidRPr="00C626F7">
              <w:rPr>
                <w:color w:val="000000"/>
                <w:sz w:val="24"/>
                <w:szCs w:val="24"/>
                <w:lang w:val="lt-LT"/>
              </w:rPr>
              <w:t xml:space="preserve">tliktas profilaktinių vėžio žymenų ėminių priėmimas, registravimas, identifikavimas, laikymas ir ištyrimas: </w:t>
            </w:r>
            <w:r w:rsidR="00C626F7" w:rsidRPr="00276C25">
              <w:rPr>
                <w:b/>
                <w:bCs/>
                <w:color w:val="000000"/>
                <w:sz w:val="24"/>
                <w:szCs w:val="24"/>
                <w:lang w:val="lt-LT"/>
              </w:rPr>
              <w:t>CA 125 (kiaušidžių žymuo),</w:t>
            </w:r>
            <w:r w:rsidR="00C626F7" w:rsidRPr="00C626F7">
              <w:rPr>
                <w:color w:val="000000"/>
                <w:sz w:val="24"/>
                <w:szCs w:val="24"/>
                <w:lang w:val="lt-LT"/>
              </w:rPr>
              <w:t xml:space="preserve"> nuokrypio nuo normos ribų nerasta, </w:t>
            </w:r>
            <w:r w:rsidR="00C626F7" w:rsidRPr="00276C25">
              <w:rPr>
                <w:b/>
                <w:bCs/>
                <w:color w:val="000000"/>
                <w:sz w:val="24"/>
                <w:szCs w:val="24"/>
                <w:lang w:val="lt-LT"/>
              </w:rPr>
              <w:t>CA 50 (storosios žarnos)</w:t>
            </w:r>
            <w:r w:rsidR="00C626F7" w:rsidRPr="00C626F7">
              <w:rPr>
                <w:color w:val="000000"/>
                <w:sz w:val="24"/>
                <w:szCs w:val="24"/>
                <w:lang w:val="lt-LT"/>
              </w:rPr>
              <w:t xml:space="preserve"> – paimta 90 ėminių, atlikta 90 tyrimų (45 moterų ir 45 vyrų), nuokrypio nuo normos ribų nerasta.</w:t>
            </w:r>
          </w:p>
          <w:p w14:paraId="62D094CA" w14:textId="77777777" w:rsidR="00276C25" w:rsidRDefault="00276C25" w:rsidP="00276C25">
            <w:pPr>
              <w:snapToGrid w:val="0"/>
              <w:spacing w:line="254" w:lineRule="auto"/>
              <w:ind w:right="35"/>
              <w:jc w:val="both"/>
              <w:rPr>
                <w:b/>
                <w:sz w:val="24"/>
                <w:szCs w:val="24"/>
                <w:lang w:val="lt-LT"/>
              </w:rPr>
            </w:pPr>
            <w:r>
              <w:rPr>
                <w:b/>
                <w:sz w:val="24"/>
                <w:szCs w:val="24"/>
                <w:lang w:val="lt-LT"/>
              </w:rPr>
              <w:t>Projekto viešinimas:</w:t>
            </w:r>
          </w:p>
          <w:tbl>
            <w:tblPr>
              <w:tblW w:w="6614" w:type="dxa"/>
              <w:tblLook w:val="00A0" w:firstRow="1" w:lastRow="0" w:firstColumn="1" w:lastColumn="0" w:noHBand="0" w:noVBand="0"/>
            </w:tblPr>
            <w:tblGrid>
              <w:gridCol w:w="6614"/>
            </w:tblGrid>
            <w:tr w:rsidR="00276C25" w:rsidRPr="00276C25" w14:paraId="3EB07AB2" w14:textId="77777777" w:rsidTr="00276C25">
              <w:trPr>
                <w:trHeight w:val="281"/>
              </w:trPr>
              <w:tc>
                <w:tcPr>
                  <w:tcW w:w="6614" w:type="dxa"/>
                </w:tcPr>
                <w:p w14:paraId="789D1EB8" w14:textId="77777777" w:rsidR="00276C25" w:rsidRPr="00276C25" w:rsidRDefault="00276C25" w:rsidP="00FD09EA">
                  <w:pPr>
                    <w:framePr w:hSpace="181" w:wrap="around" w:vAnchor="text" w:hAnchor="text" w:x="1" w:y="1"/>
                    <w:suppressOverlap/>
                    <w:jc w:val="both"/>
                    <w:rPr>
                      <w:sz w:val="24"/>
                      <w:szCs w:val="24"/>
                    </w:rPr>
                  </w:pPr>
                  <w:hyperlink r:id="rId8" w:history="1">
                    <w:r w:rsidRPr="00276C25">
                      <w:rPr>
                        <w:rStyle w:val="Hipersaitas"/>
                        <w:sz w:val="24"/>
                        <w:szCs w:val="24"/>
                        <w:u w:val="none"/>
                      </w:rPr>
                      <w:t>www.kaisiadorys.lt</w:t>
                    </w:r>
                  </w:hyperlink>
                  <w:r w:rsidRPr="00276C25">
                    <w:rPr>
                      <w:sz w:val="24"/>
                      <w:szCs w:val="24"/>
                    </w:rPr>
                    <w:t xml:space="preserve">    2024-06-06</w:t>
                  </w:r>
                </w:p>
              </w:tc>
            </w:tr>
            <w:tr w:rsidR="00276C25" w:rsidRPr="00276C25" w14:paraId="5DC56CC2" w14:textId="77777777" w:rsidTr="00276C25">
              <w:trPr>
                <w:trHeight w:val="269"/>
              </w:trPr>
              <w:tc>
                <w:tcPr>
                  <w:tcW w:w="6614" w:type="dxa"/>
                </w:tcPr>
                <w:p w14:paraId="135FD044" w14:textId="77777777" w:rsidR="00276C25" w:rsidRPr="00276C25" w:rsidRDefault="00276C25" w:rsidP="00FD09EA">
                  <w:pPr>
                    <w:framePr w:hSpace="181" w:wrap="around" w:vAnchor="text" w:hAnchor="text" w:x="1" w:y="1"/>
                    <w:suppressOverlap/>
                    <w:jc w:val="both"/>
                    <w:rPr>
                      <w:sz w:val="24"/>
                      <w:szCs w:val="24"/>
                    </w:rPr>
                  </w:pPr>
                  <w:hyperlink r:id="rId9" w:history="1">
                    <w:r w:rsidRPr="00276C25">
                      <w:rPr>
                        <w:rStyle w:val="Hipersaitas"/>
                        <w:sz w:val="24"/>
                        <w:szCs w:val="24"/>
                        <w:u w:val="none"/>
                      </w:rPr>
                      <w:t>www.kaisiadoriuligonine.lt</w:t>
                    </w:r>
                  </w:hyperlink>
                  <w:r w:rsidRPr="00276C25">
                    <w:rPr>
                      <w:sz w:val="24"/>
                      <w:szCs w:val="24"/>
                    </w:rPr>
                    <w:t xml:space="preserve">    2024-06-06</w:t>
                  </w:r>
                </w:p>
              </w:tc>
            </w:tr>
          </w:tbl>
          <w:p w14:paraId="500C2E02" w14:textId="146B69ED" w:rsidR="00AD595D" w:rsidRPr="00363DCA" w:rsidRDefault="00AD595D" w:rsidP="00276C25">
            <w:pPr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F224" w14:textId="1E8E2F7D" w:rsidR="00AD595D" w:rsidRDefault="0021352B" w:rsidP="00AD595D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531B" w14:textId="5C01D023" w:rsidR="00AD595D" w:rsidRPr="00CB7A77" w:rsidRDefault="00C626F7" w:rsidP="00AD595D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E861" w14:textId="0E3B4FA7" w:rsidR="00AD595D" w:rsidRPr="00BA0F05" w:rsidRDefault="00AD595D" w:rsidP="00AD595D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 xml:space="preserve">VšĮ Kaišiadorių </w:t>
            </w:r>
            <w:r w:rsidR="0021352B">
              <w:rPr>
                <w:rFonts w:cs="Times New Roman"/>
                <w:sz w:val="24"/>
                <w:szCs w:val="24"/>
                <w:lang w:val="lt-LT"/>
              </w:rPr>
              <w:t>rajono savivaldybės sveikatos centras</w:t>
            </w:r>
          </w:p>
        </w:tc>
      </w:tr>
      <w:tr w:rsidR="00CC4E36" w:rsidRPr="00FC5F02" w14:paraId="436B3193" w14:textId="77777777" w:rsidTr="00B82309"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BA69" w14:textId="1126AF80" w:rsidR="00CC4E36" w:rsidRPr="005A6552" w:rsidRDefault="00D9450C" w:rsidP="005A6552">
            <w:pPr>
              <w:pStyle w:val="Pagrindinistekstas"/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spacing w:line="360" w:lineRule="auto"/>
              <w:ind w:firstLine="419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lt-LT"/>
              </w:rPr>
              <w:t>2</w:t>
            </w:r>
            <w:r w:rsidR="00D81B5D" w:rsidRPr="00D81B5D">
              <w:rPr>
                <w:b/>
                <w:bCs/>
              </w:rPr>
              <w:t xml:space="preserve">. </w:t>
            </w:r>
            <w:r w:rsidR="00D81B5D">
              <w:rPr>
                <w:b/>
                <w:bCs/>
              </w:rPr>
              <w:t>U</w:t>
            </w:r>
            <w:r w:rsidR="00D81B5D" w:rsidRPr="00D81B5D">
              <w:rPr>
                <w:b/>
                <w:bCs/>
              </w:rPr>
              <w:t>žkrečiamųjų ligų profilaktika ir kontrol</w:t>
            </w:r>
            <w:r w:rsidR="00D81B5D">
              <w:rPr>
                <w:b/>
                <w:bCs/>
              </w:rPr>
              <w:t>ė</w:t>
            </w:r>
          </w:p>
        </w:tc>
      </w:tr>
      <w:tr w:rsidR="00AA6D8E" w:rsidRPr="00FC5F02" w14:paraId="4724EE95" w14:textId="77777777" w:rsidTr="00B82309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C615B" w14:textId="0F66585E" w:rsidR="00AA6D8E" w:rsidRPr="00D9450C" w:rsidRDefault="00D9450C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2</w:t>
            </w:r>
            <w:r w:rsidR="00AA6D8E" w:rsidRPr="00D9450C">
              <w:rPr>
                <w:rFonts w:cs="Times New Roman"/>
                <w:sz w:val="24"/>
                <w:szCs w:val="24"/>
                <w:lang w:val="lt-LT"/>
              </w:rPr>
              <w:t>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6FB8B3" w14:textId="37BE5D8D" w:rsidR="00AA6D8E" w:rsidRPr="00D9450C" w:rsidRDefault="00AA6D8E" w:rsidP="00AA6D8E">
            <w:pPr>
              <w:snapToGrid w:val="0"/>
              <w:spacing w:line="256" w:lineRule="auto"/>
              <w:jc w:val="both"/>
              <w:rPr>
                <w:bCs/>
                <w:sz w:val="24"/>
                <w:szCs w:val="24"/>
                <w:lang w:val="lt-LT"/>
              </w:rPr>
            </w:pPr>
            <w:r w:rsidRPr="00D9450C">
              <w:rPr>
                <w:sz w:val="24"/>
                <w:szCs w:val="24"/>
                <w:lang w:val="lt-LT"/>
              </w:rPr>
              <w:t>Socialinę atskirtį patiriančių asmenų sveikatos gerinimas Kaišiadorių r. savivaldybėje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0ECC16" w14:textId="4A6D6D4E" w:rsidR="008B4555" w:rsidRPr="00D9450C" w:rsidRDefault="008B4555" w:rsidP="008B4555">
            <w:pPr>
              <w:widowControl/>
              <w:tabs>
                <w:tab w:val="left" w:pos="1418"/>
                <w:tab w:val="left" w:pos="1843"/>
                <w:tab w:val="left" w:pos="5387"/>
              </w:tabs>
              <w:suppressAutoHyphens w:val="0"/>
              <w:overflowPunct/>
              <w:autoSpaceDE/>
              <w:contextualSpacing/>
              <w:jc w:val="both"/>
              <w:rPr>
                <w:rFonts w:eastAsia="Calibr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</w:t>
            </w:r>
            <w:r w:rsidRPr="00D9450C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42 laikino apgyvendinimo Nakvynės namuose paslaugų gavėjai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4D557DD9" w14:textId="5AD48568" w:rsidR="008B4555" w:rsidRPr="008B4555" w:rsidRDefault="008B4555" w:rsidP="008B4555">
            <w:pPr>
              <w:widowControl/>
              <w:tabs>
                <w:tab w:val="left" w:pos="1418"/>
                <w:tab w:val="left" w:pos="1843"/>
                <w:tab w:val="left" w:pos="5387"/>
              </w:tabs>
              <w:suppressAutoHyphens w:val="0"/>
              <w:overflowPunct/>
              <w:autoSpaceDE/>
              <w:contextualSpacing/>
              <w:jc w:val="both"/>
              <w:rPr>
                <w:rFonts w:cs="Times New Roman"/>
                <w:sz w:val="24"/>
                <w:szCs w:val="24"/>
                <w:lang w:val="lt-LT" w:eastAsia="en-US"/>
              </w:rPr>
            </w:pPr>
            <w:r w:rsidRPr="008B4555">
              <w:rPr>
                <w:rFonts w:eastAsia="Calibri" w:cs="Times New Roman"/>
                <w:b/>
                <w:bCs/>
                <w:sz w:val="24"/>
                <w:szCs w:val="24"/>
                <w:lang w:val="lt-LT" w:eastAsia="en-US"/>
              </w:rPr>
              <w:t>Priemonės tikslas</w:t>
            </w:r>
            <w:r w:rsidRPr="008B4555">
              <w:rPr>
                <w:rFonts w:eastAsia="Calibri" w:cs="Times New Roman"/>
                <w:sz w:val="24"/>
                <w:szCs w:val="24"/>
                <w:lang w:val="lt-LT" w:eastAsia="en-US"/>
              </w:rPr>
              <w:t xml:space="preserve"> – vykdyti užkrečiamųjų ligų profilaktiką, gerinti socialinę atskirtį patiriančių asmenų sveikatos būklę, išsiaiškinant ir užkertant kelią tuberkuliozės ir pedikuliozės plitimui.</w:t>
            </w:r>
          </w:p>
          <w:p w14:paraId="095DB57F" w14:textId="24D47BE6" w:rsidR="008B4555" w:rsidRPr="008B4555" w:rsidRDefault="008B4555" w:rsidP="008B4555">
            <w:pPr>
              <w:widowControl/>
              <w:tabs>
                <w:tab w:val="left" w:pos="851"/>
                <w:tab w:val="left" w:pos="1843"/>
                <w:tab w:val="left" w:pos="5387"/>
              </w:tabs>
              <w:suppressAutoHyphens w:val="0"/>
              <w:overflowPunct/>
              <w:autoSpaceDE/>
              <w:spacing w:line="360" w:lineRule="auto"/>
              <w:contextualSpacing/>
              <w:jc w:val="both"/>
              <w:rPr>
                <w:rFonts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 w:rsidRPr="00D9450C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</w:t>
            </w:r>
          </w:p>
          <w:p w14:paraId="0781E585" w14:textId="77777777" w:rsidR="008B4555" w:rsidRPr="00D9450C" w:rsidRDefault="008B4555" w:rsidP="008B4555">
            <w:pPr>
              <w:pStyle w:val="Sraopastraipa"/>
              <w:widowControl/>
              <w:numPr>
                <w:ilvl w:val="0"/>
                <w:numId w:val="18"/>
              </w:numPr>
              <w:tabs>
                <w:tab w:val="left" w:pos="1418"/>
                <w:tab w:val="left" w:pos="1560"/>
                <w:tab w:val="left" w:pos="5387"/>
              </w:tabs>
              <w:suppressAutoHyphens w:val="0"/>
              <w:overflowPunct/>
              <w:autoSpaceDE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Asmens higienos priemonės bei vaistai nuo pedikuliozės išdalinti </w:t>
            </w:r>
          </w:p>
          <w:p w14:paraId="015CA454" w14:textId="0E8604EC" w:rsidR="008B4555" w:rsidRPr="00D9450C" w:rsidRDefault="008B4555" w:rsidP="008B4555">
            <w:pPr>
              <w:widowControl/>
              <w:tabs>
                <w:tab w:val="left" w:pos="1418"/>
                <w:tab w:val="left" w:pos="1560"/>
                <w:tab w:val="left" w:pos="5387"/>
              </w:tabs>
              <w:suppressAutoHyphens w:val="0"/>
              <w:overflowPunct/>
              <w:autoSpaceDE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42 asmenims, gaunantiems laikino apgyvendinimo paslaugas Nakvynės namuose, todėl šios užkrečiamosios ligos plitimo Nakvynės namuose nebuvo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6158E137" w14:textId="70BD0B9E" w:rsidR="008B4555" w:rsidRPr="00D9450C" w:rsidRDefault="00D941DF" w:rsidP="008B4555">
            <w:pPr>
              <w:pStyle w:val="Sraopastraipa"/>
              <w:widowControl/>
              <w:numPr>
                <w:ilvl w:val="0"/>
                <w:numId w:val="18"/>
              </w:numPr>
              <w:tabs>
                <w:tab w:val="left" w:pos="1418"/>
                <w:tab w:val="left" w:pos="1560"/>
                <w:tab w:val="left" w:pos="5387"/>
              </w:tabs>
              <w:suppressAutoHyphens w:val="0"/>
              <w:overflowPunct/>
              <w:autoSpaceDE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A</w:t>
            </w:r>
            <w:r w:rsidR="008B4555"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tskirtį patiriantys asmenys, nedrausti privalomuoju sveikatos </w:t>
            </w:r>
          </w:p>
          <w:p w14:paraId="520D974C" w14:textId="6271B4B1" w:rsidR="008B4555" w:rsidRPr="00D9450C" w:rsidRDefault="008B4555" w:rsidP="008B4555">
            <w:pPr>
              <w:widowControl/>
              <w:tabs>
                <w:tab w:val="left" w:pos="1418"/>
                <w:tab w:val="left" w:pos="1560"/>
                <w:tab w:val="left" w:pos="5387"/>
              </w:tabs>
              <w:suppressAutoHyphens w:val="0"/>
              <w:overflowPunct/>
              <w:autoSpaceDE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lastRenderedPageBreak/>
              <w:t xml:space="preserve">draudimu, periodiškai lankėsi </w:t>
            </w:r>
            <w:r w:rsidR="00D9450C"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pas šeimos gydytoją ir buvo nuolatos stebima jų </w:t>
            </w: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sveikatos būklė</w:t>
            </w:r>
            <w:r w:rsidR="00D9450C"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, todėl mokamų tyrimų dėl TBC poreikio 2024 m. nebuvo.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22A81" w14:textId="0E14AA2B" w:rsidR="00AA6D8E" w:rsidRPr="00D9450C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sz w:val="24"/>
                <w:szCs w:val="24"/>
              </w:rPr>
            </w:pPr>
            <w:r w:rsidRPr="00D9450C">
              <w:rPr>
                <w:sz w:val="24"/>
                <w:szCs w:val="24"/>
              </w:rPr>
              <w:lastRenderedPageBreak/>
              <w:t>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D58648" w14:textId="0EAC64E4" w:rsidR="00AA6D8E" w:rsidRPr="00D9450C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sz w:val="24"/>
                <w:szCs w:val="24"/>
              </w:rPr>
            </w:pPr>
            <w:r w:rsidRPr="00D9450C">
              <w:rPr>
                <w:sz w:val="24"/>
                <w:szCs w:val="24"/>
              </w:rPr>
              <w:t>400,00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D55E5" w14:textId="5AC84366" w:rsidR="00AA6D8E" w:rsidRPr="00D9450C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bCs/>
                <w:sz w:val="24"/>
                <w:szCs w:val="24"/>
              </w:rPr>
            </w:pPr>
            <w:r w:rsidRPr="00D9450C">
              <w:rPr>
                <w:sz w:val="24"/>
                <w:szCs w:val="24"/>
              </w:rPr>
              <w:t>Kaišiadorių socialinių paslaugų centras</w:t>
            </w:r>
          </w:p>
        </w:tc>
      </w:tr>
      <w:tr w:rsidR="00AA6D8E" w:rsidRPr="00FC5F02" w14:paraId="7D4D920F" w14:textId="77777777" w:rsidTr="00B82309">
        <w:trPr>
          <w:trHeight w:val="461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CDF8" w14:textId="55B7AF83" w:rsidR="00AA6D8E" w:rsidRPr="00500141" w:rsidRDefault="00D81B5D" w:rsidP="00500141">
            <w:pPr>
              <w:pStyle w:val="Pagrindinistekstas"/>
              <w:widowControl w:val="0"/>
              <w:numPr>
                <w:ilvl w:val="0"/>
                <w:numId w:val="9"/>
              </w:numPr>
              <w:suppressAutoHyphens/>
              <w:overflowPunct w:val="0"/>
              <w:autoSpaceDE w:val="0"/>
              <w:spacing w:line="360" w:lineRule="auto"/>
              <w:ind w:firstLine="419"/>
              <w:jc w:val="center"/>
              <w:textAlignment w:val="baseline"/>
              <w:rPr>
                <w:b/>
                <w:bCs/>
              </w:rPr>
            </w:pPr>
            <w:r w:rsidRPr="00D81B5D">
              <w:rPr>
                <w:b/>
                <w:bCs/>
                <w:lang w:val="lt-LT"/>
              </w:rPr>
              <w:t>3</w:t>
            </w:r>
            <w:r w:rsidRPr="00D81B5D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G</w:t>
            </w:r>
            <w:r w:rsidRPr="00D81B5D">
              <w:rPr>
                <w:b/>
                <w:bCs/>
              </w:rPr>
              <w:t>yventojų fizinio aktyvumo skatinim</w:t>
            </w:r>
            <w:r>
              <w:rPr>
                <w:b/>
                <w:bCs/>
              </w:rPr>
              <w:t>as</w:t>
            </w:r>
          </w:p>
        </w:tc>
      </w:tr>
      <w:tr w:rsidR="00AA6D8E" w:rsidRPr="00BA0F05" w14:paraId="1242B0DF" w14:textId="77777777" w:rsidTr="00B82309">
        <w:trPr>
          <w:trHeight w:val="7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D32AB1" w14:textId="5242F6CB" w:rsidR="00AA6D8E" w:rsidRDefault="00D81B5D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3.1.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19C189" w14:textId="736ACC66" w:rsidR="00AA6D8E" w:rsidRPr="00AA6D8E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B80C9D">
              <w:rPr>
                <w:sz w:val="24"/>
                <w:szCs w:val="24"/>
                <w:lang w:val="lt-LT"/>
              </w:rPr>
              <w:t>Skatinti įvairaus amžiaus Kaišiadorių rajono gyventojų fizinį aktyvumą, laisvalaikį ir užimtumą, ugdyti poreikį judėti ir fiziškai sustiprėti</w:t>
            </w:r>
            <w:r w:rsidR="00BA0F05">
              <w:rPr>
                <w:sz w:val="24"/>
                <w:szCs w:val="24"/>
                <w:lang w:val="lt-LT"/>
              </w:rPr>
              <w:t>.</w:t>
            </w:r>
            <w:r w:rsidRPr="00B80C9D">
              <w:rPr>
                <w:sz w:val="24"/>
                <w:szCs w:val="24"/>
                <w:lang w:val="lt-LT"/>
              </w:rPr>
              <w:t xml:space="preserve"> Priemonės tikslas – skatinti įvairaus amžiaus Kaišiadorių rajono gyventojų aktyvų laisvalaikį ir užimtumą, ugdyti poreikį</w:t>
            </w:r>
            <w:r w:rsidRPr="00BA0F05">
              <w:rPr>
                <w:sz w:val="24"/>
                <w:szCs w:val="24"/>
                <w:lang w:val="lt-LT"/>
              </w:rPr>
              <w:t xml:space="preserve"> </w:t>
            </w:r>
            <w:r w:rsidRPr="00B80C9D">
              <w:rPr>
                <w:sz w:val="24"/>
                <w:szCs w:val="24"/>
                <w:lang w:val="lt-LT"/>
              </w:rPr>
              <w:t>fiziškai sustiprėti</w:t>
            </w:r>
            <w:r w:rsidRPr="00BA0F05">
              <w:rPr>
                <w:sz w:val="24"/>
                <w:szCs w:val="24"/>
                <w:lang w:val="lt-LT"/>
              </w:rPr>
              <w:t>.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F22CF6" w14:textId="747BA65C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  <w:r>
              <w:rPr>
                <w:b/>
                <w:sz w:val="24"/>
                <w:szCs w:val="24"/>
                <w:lang w:val="lt-LT"/>
              </w:rPr>
              <w:t>0–14</w:t>
            </w:r>
            <w:r>
              <w:rPr>
                <w:sz w:val="24"/>
                <w:szCs w:val="24"/>
                <w:lang w:val="lt-LT"/>
              </w:rPr>
              <w:t xml:space="preserve"> metų </w:t>
            </w:r>
            <w:r w:rsidR="00D941DF">
              <w:rPr>
                <w:sz w:val="24"/>
                <w:szCs w:val="24"/>
                <w:lang w:val="lt-LT"/>
              </w:rPr>
              <w:t xml:space="preserve">– </w:t>
            </w:r>
            <w:r>
              <w:rPr>
                <w:sz w:val="24"/>
                <w:szCs w:val="24"/>
                <w:lang w:val="lt-LT"/>
              </w:rPr>
              <w:t xml:space="preserve">24; </w:t>
            </w:r>
            <w:r>
              <w:rPr>
                <w:b/>
                <w:sz w:val="24"/>
                <w:szCs w:val="24"/>
                <w:lang w:val="lt-LT"/>
              </w:rPr>
              <w:t>15–29</w:t>
            </w:r>
            <w:r>
              <w:rPr>
                <w:sz w:val="24"/>
                <w:szCs w:val="24"/>
                <w:lang w:val="lt-LT"/>
              </w:rPr>
              <w:t xml:space="preserve"> metų </w:t>
            </w:r>
            <w:r w:rsidR="00D941DF">
              <w:rPr>
                <w:sz w:val="24"/>
                <w:szCs w:val="24"/>
                <w:lang w:val="lt-LT"/>
              </w:rPr>
              <w:t>–</w:t>
            </w:r>
            <w:r>
              <w:rPr>
                <w:sz w:val="24"/>
                <w:szCs w:val="24"/>
                <w:lang w:val="lt-LT"/>
              </w:rPr>
              <w:t xml:space="preserve"> 0; </w:t>
            </w:r>
            <w:r>
              <w:rPr>
                <w:b/>
                <w:sz w:val="24"/>
                <w:szCs w:val="24"/>
                <w:lang w:val="lt-LT"/>
              </w:rPr>
              <w:t>30–60</w:t>
            </w:r>
            <w:r>
              <w:rPr>
                <w:sz w:val="24"/>
                <w:szCs w:val="24"/>
                <w:lang w:val="lt-LT"/>
              </w:rPr>
              <w:t xml:space="preserve"> metų </w:t>
            </w:r>
            <w:r w:rsidR="00D941DF">
              <w:rPr>
                <w:sz w:val="24"/>
                <w:szCs w:val="24"/>
                <w:lang w:val="lt-LT"/>
              </w:rPr>
              <w:t xml:space="preserve">– </w:t>
            </w:r>
            <w:r>
              <w:rPr>
                <w:sz w:val="24"/>
                <w:szCs w:val="24"/>
                <w:lang w:val="lt-LT"/>
              </w:rPr>
              <w:t xml:space="preserve">42; daugiau kaip </w:t>
            </w:r>
            <w:r>
              <w:rPr>
                <w:b/>
                <w:sz w:val="24"/>
                <w:szCs w:val="24"/>
                <w:lang w:val="lt-LT"/>
              </w:rPr>
              <w:t>60</w:t>
            </w:r>
            <w:r>
              <w:rPr>
                <w:sz w:val="24"/>
                <w:szCs w:val="24"/>
                <w:lang w:val="lt-LT"/>
              </w:rPr>
              <w:t xml:space="preserve"> metų </w:t>
            </w:r>
            <w:r w:rsidR="00D941DF">
              <w:rPr>
                <w:sz w:val="24"/>
                <w:szCs w:val="24"/>
                <w:lang w:val="lt-LT"/>
              </w:rPr>
              <w:t xml:space="preserve">– </w:t>
            </w:r>
            <w:r>
              <w:rPr>
                <w:sz w:val="24"/>
                <w:szCs w:val="24"/>
                <w:lang w:val="lt-LT"/>
              </w:rPr>
              <w:t>126  asmen</w:t>
            </w:r>
            <w:r w:rsidR="00D941DF">
              <w:rPr>
                <w:sz w:val="24"/>
                <w:szCs w:val="24"/>
                <w:lang w:val="lt-LT"/>
              </w:rPr>
              <w:t>ys</w:t>
            </w:r>
            <w:r>
              <w:rPr>
                <w:sz w:val="24"/>
                <w:szCs w:val="24"/>
                <w:lang w:val="lt-LT"/>
              </w:rPr>
              <w:t>.</w:t>
            </w:r>
          </w:p>
          <w:p w14:paraId="0CB3AEB7" w14:textId="5E458C1C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</w:t>
            </w:r>
            <w:r>
              <w:rPr>
                <w:sz w:val="24"/>
                <w:szCs w:val="24"/>
                <w:lang w:val="lt-LT"/>
              </w:rPr>
              <w:t xml:space="preserve"> skatinti įvairaus amžiaus Kaišiadorių rajono gyventojų aktyvų laisvalaikį ir užimtumą, ugdyti poreikį fiziškai sustiprėti ir sąlygas Kaišiadorių rajono gyventojams su negalia, senjorams 65+, vaikams, turintiems laikysenos sutrikimų</w:t>
            </w:r>
            <w:r w:rsidR="00D941DF">
              <w:rPr>
                <w:sz w:val="24"/>
                <w:szCs w:val="24"/>
                <w:lang w:val="lt-LT"/>
              </w:rPr>
              <w:t>,</w:t>
            </w:r>
            <w:r>
              <w:rPr>
                <w:sz w:val="24"/>
                <w:szCs w:val="24"/>
                <w:lang w:val="lt-LT"/>
              </w:rPr>
              <w:t xml:space="preserve"> reguliariai treniruotis vandenyje</w:t>
            </w:r>
            <w:r w:rsidR="00D941DF">
              <w:rPr>
                <w:sz w:val="24"/>
                <w:szCs w:val="24"/>
                <w:lang w:val="lt-LT"/>
              </w:rPr>
              <w:t>.</w:t>
            </w:r>
          </w:p>
          <w:p w14:paraId="644251AF" w14:textId="49D52310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: </w:t>
            </w:r>
          </w:p>
          <w:p w14:paraId="5F44910C" w14:textId="6186418B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sz w:val="24"/>
                <w:szCs w:val="24"/>
                <w:lang w:val="lt-LT"/>
              </w:rPr>
              <w:t>1.</w:t>
            </w:r>
            <w:r w:rsidR="00D941DF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>Mankštos vandenyje neįgaliesiems</w:t>
            </w:r>
            <w:r w:rsidR="00D941DF">
              <w:rPr>
                <w:sz w:val="24"/>
                <w:szCs w:val="24"/>
                <w:lang w:val="lt-LT"/>
              </w:rPr>
              <w:t xml:space="preserve"> – </w:t>
            </w:r>
            <w:r>
              <w:rPr>
                <w:sz w:val="24"/>
                <w:szCs w:val="24"/>
                <w:lang w:val="lt-LT"/>
              </w:rPr>
              <w:t>72 asmenys</w:t>
            </w:r>
            <w:r w:rsidR="00D941DF">
              <w:rPr>
                <w:sz w:val="24"/>
                <w:szCs w:val="24"/>
                <w:lang w:val="lt-LT"/>
              </w:rPr>
              <w:t>,</w:t>
            </w:r>
            <w:r>
              <w:rPr>
                <w:sz w:val="24"/>
                <w:szCs w:val="24"/>
                <w:lang w:val="lt-LT"/>
              </w:rPr>
              <w:t xml:space="preserve"> 15 apsilankymų</w:t>
            </w:r>
            <w:r w:rsidR="00D941DF">
              <w:rPr>
                <w:sz w:val="24"/>
                <w:szCs w:val="24"/>
                <w:lang w:val="lt-LT"/>
              </w:rPr>
              <w:t>.</w:t>
            </w:r>
          </w:p>
          <w:p w14:paraId="647D5778" w14:textId="4824740E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2.</w:t>
            </w:r>
            <w:r w:rsidR="00D941DF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 xml:space="preserve">Mankštos vandenyje senjorams 65+ </w:t>
            </w:r>
            <w:r w:rsidR="00D941DF">
              <w:rPr>
                <w:sz w:val="24"/>
                <w:szCs w:val="24"/>
                <w:lang w:val="lt-LT"/>
              </w:rPr>
              <w:t xml:space="preserve">– </w:t>
            </w:r>
            <w:r>
              <w:rPr>
                <w:sz w:val="24"/>
                <w:szCs w:val="24"/>
                <w:lang w:val="lt-LT"/>
              </w:rPr>
              <w:t>96 asmenys</w:t>
            </w:r>
            <w:r w:rsidR="00D941DF">
              <w:rPr>
                <w:sz w:val="24"/>
                <w:szCs w:val="24"/>
                <w:lang w:val="lt-LT"/>
              </w:rPr>
              <w:t>,</w:t>
            </w:r>
            <w:r>
              <w:rPr>
                <w:sz w:val="24"/>
                <w:szCs w:val="24"/>
                <w:lang w:val="lt-LT"/>
              </w:rPr>
              <w:t xml:space="preserve"> 15 apsilankymų</w:t>
            </w:r>
            <w:r w:rsidR="00D941DF">
              <w:rPr>
                <w:sz w:val="24"/>
                <w:szCs w:val="24"/>
                <w:lang w:val="lt-LT"/>
              </w:rPr>
              <w:t>.</w:t>
            </w:r>
          </w:p>
          <w:p w14:paraId="379175D4" w14:textId="246AB651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3.</w:t>
            </w:r>
            <w:r w:rsidR="00D941DF">
              <w:rPr>
                <w:sz w:val="24"/>
                <w:szCs w:val="24"/>
                <w:lang w:val="lt-LT"/>
              </w:rPr>
              <w:t xml:space="preserve"> </w:t>
            </w:r>
            <w:r>
              <w:rPr>
                <w:sz w:val="24"/>
                <w:szCs w:val="24"/>
                <w:lang w:val="lt-LT"/>
              </w:rPr>
              <w:t>Mankštos vandenyje vaikams, turintiems netaisyklingą laikyseną</w:t>
            </w:r>
            <w:r w:rsidR="00D941DF">
              <w:rPr>
                <w:sz w:val="24"/>
                <w:szCs w:val="24"/>
                <w:lang w:val="lt-LT"/>
              </w:rPr>
              <w:t xml:space="preserve"> – </w:t>
            </w:r>
            <w:r>
              <w:rPr>
                <w:sz w:val="24"/>
                <w:szCs w:val="24"/>
                <w:lang w:val="lt-LT"/>
              </w:rPr>
              <w:t>24 asmen</w:t>
            </w:r>
            <w:r w:rsidR="00D941DF">
              <w:rPr>
                <w:sz w:val="24"/>
                <w:szCs w:val="24"/>
                <w:lang w:val="lt-LT"/>
              </w:rPr>
              <w:t>ys,</w:t>
            </w:r>
            <w:r>
              <w:rPr>
                <w:sz w:val="24"/>
                <w:szCs w:val="24"/>
                <w:lang w:val="lt-LT"/>
              </w:rPr>
              <w:t xml:space="preserve"> 15 apsilankymų</w:t>
            </w:r>
            <w:r w:rsidR="00D941DF">
              <w:rPr>
                <w:sz w:val="24"/>
                <w:szCs w:val="24"/>
                <w:lang w:val="lt-LT"/>
              </w:rPr>
              <w:t>.</w:t>
            </w:r>
          </w:p>
          <w:p w14:paraId="62621AAF" w14:textId="77777777" w:rsidR="00B80C9D" w:rsidRDefault="00B80C9D" w:rsidP="00B80C9D">
            <w:pPr>
              <w:snapToGrid w:val="0"/>
              <w:spacing w:line="254" w:lineRule="auto"/>
              <w:ind w:right="35"/>
              <w:jc w:val="both"/>
              <w:rPr>
                <w:b/>
                <w:sz w:val="24"/>
                <w:szCs w:val="24"/>
                <w:lang w:val="lt-LT"/>
              </w:rPr>
            </w:pPr>
            <w:r>
              <w:rPr>
                <w:b/>
                <w:sz w:val="24"/>
                <w:szCs w:val="24"/>
                <w:lang w:val="lt-LT"/>
              </w:rPr>
              <w:t>Projekto viešinimas:</w:t>
            </w:r>
          </w:p>
          <w:p w14:paraId="68A68F27" w14:textId="77777777" w:rsidR="00B80C9D" w:rsidRDefault="00B80C9D" w:rsidP="00B80C9D">
            <w:pPr>
              <w:jc w:val="both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Kaišiadorių ŠSC-Sportas /2024 m. birželio 3 d.</w:t>
            </w:r>
          </w:p>
          <w:p w14:paraId="58CEB45E" w14:textId="77777777" w:rsidR="00B80C9D" w:rsidRDefault="00B80C9D" w:rsidP="00B80C9D">
            <w:pPr>
              <w:jc w:val="both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Kaišiadorių ŠSC-Sportas /2024 m. rugsėjo 9 d.</w:t>
            </w:r>
          </w:p>
          <w:p w14:paraId="0CEA54E4" w14:textId="77777777" w:rsidR="00B80C9D" w:rsidRDefault="00B80C9D" w:rsidP="00B80C9D">
            <w:pPr>
              <w:jc w:val="both"/>
              <w:rPr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Kaišiadorių ŠSC-Sportas /2024 m. rugsėjo 27 d.</w:t>
            </w:r>
          </w:p>
          <w:p w14:paraId="4C227AB6" w14:textId="14C76108" w:rsidR="00AA6D8E" w:rsidRPr="00AA6D8E" w:rsidRDefault="00B80C9D" w:rsidP="00B80C9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sz w:val="24"/>
                <w:szCs w:val="24"/>
                <w:lang w:val="lt-LT"/>
              </w:rPr>
              <w:t>Kaišiadorių ŠSC-Sportas /2025 m. sausio 3 d.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A7F11" w14:textId="11655372" w:rsidR="00AA6D8E" w:rsidRP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AA6D8E">
              <w:rPr>
                <w:sz w:val="24"/>
                <w:szCs w:val="24"/>
              </w:rPr>
              <w:t>7686,00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99F0C" w14:textId="17AE46F3" w:rsidR="00AA6D8E" w:rsidRP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AA6D8E">
              <w:rPr>
                <w:rFonts w:cs="Times New Roman"/>
                <w:sz w:val="24"/>
                <w:szCs w:val="24"/>
                <w:lang w:val="lt-LT"/>
              </w:rPr>
              <w:t>7686,00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4A1A" w14:textId="3E473CC5" w:rsidR="00AA6D8E" w:rsidRPr="00D9450C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D9450C">
              <w:rPr>
                <w:sz w:val="24"/>
                <w:szCs w:val="24"/>
                <w:lang w:val="lt-LT"/>
              </w:rPr>
              <w:t>Kaišiadorių švietimo ir sporto centras</w:t>
            </w:r>
          </w:p>
        </w:tc>
      </w:tr>
      <w:tr w:rsidR="00AA6D8E" w:rsidRPr="00FC5F02" w14:paraId="63C3D8C5" w14:textId="77777777" w:rsidTr="00B82309">
        <w:trPr>
          <w:trHeight w:val="7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57780" w14:textId="70108E73" w:rsidR="00AA6D8E" w:rsidRDefault="00D81B5D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3.2.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A65193" w14:textId="12ABE348" w:rsidR="00AA6D8E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C7035D">
              <w:rPr>
                <w:rFonts w:cs="Times New Roman"/>
                <w:b/>
                <w:sz w:val="24"/>
                <w:szCs w:val="24"/>
                <w:lang w:val="lt-LT"/>
              </w:rPr>
              <w:t>Senjoro</w:t>
            </w:r>
            <w:r>
              <w:rPr>
                <w:rFonts w:cs="Times New Roman"/>
                <w:sz w:val="24"/>
                <w:szCs w:val="24"/>
                <w:lang w:val="lt-LT"/>
              </w:rPr>
              <w:t xml:space="preserve"> sveikata – tai aktyvus sportinis gyvenimas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DA67A" w14:textId="7B943049" w:rsidR="00AA6D8E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–</w:t>
            </w:r>
            <w:r w:rsidR="00C7035D" w:rsidRPr="00BA0F05">
              <w:rPr>
                <w:sz w:val="24"/>
                <w:szCs w:val="24"/>
                <w:lang w:val="lt-LT"/>
              </w:rPr>
              <w:t xml:space="preserve"> </w:t>
            </w:r>
            <w:r w:rsidR="00C7035D" w:rsidRPr="00C7035D">
              <w:rPr>
                <w:sz w:val="24"/>
                <w:szCs w:val="24"/>
                <w:lang w:val="lt-LT"/>
              </w:rPr>
              <w:t xml:space="preserve">daugiau kaip </w:t>
            </w:r>
            <w:r w:rsidR="00C7035D" w:rsidRPr="00C7035D">
              <w:rPr>
                <w:b/>
                <w:sz w:val="24"/>
                <w:szCs w:val="24"/>
                <w:lang w:val="lt-LT"/>
              </w:rPr>
              <w:t>60</w:t>
            </w:r>
            <w:r w:rsidR="00C7035D">
              <w:rPr>
                <w:sz w:val="24"/>
                <w:szCs w:val="24"/>
                <w:lang w:val="lt-LT"/>
              </w:rPr>
              <w:t xml:space="preserve"> metų 106 asmenys</w:t>
            </w:r>
            <w:r w:rsidR="00D941DF">
              <w:rPr>
                <w:sz w:val="24"/>
                <w:szCs w:val="24"/>
                <w:lang w:val="lt-LT"/>
              </w:rPr>
              <w:t>.</w:t>
            </w:r>
          </w:p>
          <w:p w14:paraId="599C3E1F" w14:textId="3B2D7E6B" w:rsidR="00AA6D8E" w:rsidRPr="00244238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2E06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s</w:t>
            </w:r>
            <w:r w:rsidRPr="00244238">
              <w:rPr>
                <w:rFonts w:eastAsiaTheme="minorHAnsi" w:cs="Times New Roman"/>
                <w:sz w:val="24"/>
                <w:szCs w:val="24"/>
                <w:lang w:val="lt-LT" w:eastAsia="en-US"/>
              </w:rPr>
              <w:t>katinti senjorus užsiimti kiekvienam priimtina sportine veikla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291ECE5E" w14:textId="4BF04B4C" w:rsidR="00AA6D8E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: </w:t>
            </w:r>
          </w:p>
          <w:p w14:paraId="59EDDB90" w14:textId="5F122916" w:rsidR="00C7035D" w:rsidRPr="00C7035D" w:rsidRDefault="00C7035D" w:rsidP="00C7035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1.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Kiekvieną ketvirtadienį pensininkų  klubo fojė mankštinasi 15 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žmonių grupė.</w:t>
            </w:r>
          </w:p>
          <w:p w14:paraId="150D1103" w14:textId="283C3CAD" w:rsidR="00C7035D" w:rsidRPr="00C7035D" w:rsidRDefault="00C7035D" w:rsidP="00C7035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2.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>Kiekvieną šeštadienį  Kaišiadorių miesto baseine plaukioja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17 senjorų.</w:t>
            </w:r>
          </w:p>
          <w:p w14:paraId="31525092" w14:textId="34CD9446" w:rsidR="00C7035D" w:rsidRPr="00C7035D" w:rsidRDefault="00C7035D" w:rsidP="00C7035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3.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>Vaikščiojimas su šiaurietiškom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is lazdomis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Girelės miško pažintiniais takais 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–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vaikšto 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24  senjor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>ai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ab/>
            </w:r>
          </w:p>
          <w:p w14:paraId="3DE9B885" w14:textId="017EA073" w:rsidR="00C7035D" w:rsidRPr="00C7035D" w:rsidRDefault="00C7035D" w:rsidP="00C7035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4.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>Linijinių šokių repeticijos vyksta kiekvi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eną antradienį ir ketvirtadienį, dalyvauja 18 žmonių.</w:t>
            </w:r>
          </w:p>
          <w:p w14:paraId="55388FFB" w14:textId="0F7F8AE2" w:rsidR="00C7035D" w:rsidRDefault="00C7035D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lastRenderedPageBreak/>
              <w:t xml:space="preserve">5.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Dalyvavimas sporto 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festivalyje </w:t>
            </w:r>
            <w:r w:rsidR="00D941DF">
              <w:rPr>
                <w:rFonts w:eastAsiaTheme="minorHAnsi" w:cs="Times New Roman"/>
                <w:sz w:val="24"/>
                <w:szCs w:val="24"/>
                <w:lang w:val="lt-LT" w:eastAsia="en-US"/>
              </w:rPr>
              <w:t>–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</w:t>
            </w:r>
            <w:r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50 žmonių grupė dalyvavo sporto 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festivalyje.</w:t>
            </w:r>
          </w:p>
          <w:p w14:paraId="68171E6A" w14:textId="11ADECCE" w:rsidR="00C7035D" w:rsidRPr="00C7035D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C7035D">
              <w:rPr>
                <w:rFonts w:eastAsiaTheme="minorHAnsi" w:cs="Times New Roman"/>
                <w:b/>
                <w:sz w:val="24"/>
                <w:szCs w:val="24"/>
                <w:lang w:val="lt-LT" w:eastAsia="en-US"/>
              </w:rPr>
              <w:t>Projektas viešintas</w:t>
            </w:r>
            <w:r w:rsidR="00C7035D" w:rsidRPr="00C7035D">
              <w:rPr>
                <w:rFonts w:eastAsiaTheme="minorHAnsi" w:cs="Times New Roman"/>
                <w:sz w:val="24"/>
                <w:szCs w:val="24"/>
                <w:lang w:val="lt-LT" w:eastAsia="en-US"/>
              </w:rPr>
              <w:t>:</w:t>
            </w:r>
            <w:r w:rsidR="00C7035D" w:rsidRPr="00C7035D">
              <w:rPr>
                <w:sz w:val="24"/>
                <w:szCs w:val="24"/>
                <w:lang w:val="lt-LT"/>
              </w:rPr>
              <w:t xml:space="preserve"> „Kaišiadorių aid</w:t>
            </w:r>
            <w:r w:rsidR="00D941DF">
              <w:rPr>
                <w:sz w:val="24"/>
                <w:szCs w:val="24"/>
                <w:lang w:val="lt-LT"/>
              </w:rPr>
              <w:t>uose</w:t>
            </w:r>
            <w:r w:rsidR="00C7035D" w:rsidRPr="00C7035D">
              <w:rPr>
                <w:sz w:val="24"/>
                <w:szCs w:val="24"/>
                <w:lang w:val="lt-LT"/>
              </w:rPr>
              <w:t>“ 2024 m. spalio 8 d. Nr. 77 ir internetin</w:t>
            </w:r>
            <w:r w:rsidR="00D941DF">
              <w:rPr>
                <w:sz w:val="24"/>
                <w:szCs w:val="24"/>
                <w:lang w:val="lt-LT"/>
              </w:rPr>
              <w:t>iame</w:t>
            </w:r>
            <w:r w:rsidR="00C7035D" w:rsidRPr="00C7035D">
              <w:rPr>
                <w:sz w:val="24"/>
                <w:szCs w:val="24"/>
                <w:lang w:val="lt-LT"/>
              </w:rPr>
              <w:t xml:space="preserve"> laikrašt</w:t>
            </w:r>
            <w:r w:rsidR="00D941DF">
              <w:rPr>
                <w:sz w:val="24"/>
                <w:szCs w:val="24"/>
                <w:lang w:val="lt-LT"/>
              </w:rPr>
              <w:t>yje</w:t>
            </w:r>
            <w:r w:rsidR="00C7035D" w:rsidRPr="00C7035D">
              <w:rPr>
                <w:sz w:val="24"/>
                <w:szCs w:val="24"/>
                <w:lang w:val="lt-LT"/>
              </w:rPr>
              <w:t xml:space="preserve"> „Atspindžiai“ 2024 m. spalio 3 d. bei Kaišiadorių rajono pensininkų klubo  </w:t>
            </w:r>
            <w:r w:rsidR="00D941DF" w:rsidRPr="00D941DF">
              <w:rPr>
                <w:i/>
                <w:iCs/>
                <w:sz w:val="24"/>
                <w:szCs w:val="24"/>
                <w:lang w:val="lt-LT"/>
              </w:rPr>
              <w:t>F</w:t>
            </w:r>
            <w:r w:rsidR="00C7035D" w:rsidRPr="00D941DF">
              <w:rPr>
                <w:i/>
                <w:iCs/>
                <w:sz w:val="24"/>
                <w:szCs w:val="24"/>
                <w:lang w:val="lt-LT"/>
              </w:rPr>
              <w:t>acebook</w:t>
            </w:r>
            <w:r w:rsidR="00C7035D" w:rsidRPr="00C7035D">
              <w:rPr>
                <w:sz w:val="24"/>
                <w:szCs w:val="24"/>
                <w:lang w:val="lt-LT"/>
              </w:rPr>
              <w:t xml:space="preserve"> paskyroje.</w:t>
            </w:r>
          </w:p>
          <w:p w14:paraId="529459B4" w14:textId="131C21CD" w:rsidR="00AA6D8E" w:rsidRPr="009274AA" w:rsidRDefault="00C7035D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3E69" w14:textId="559D07CD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lastRenderedPageBreak/>
              <w:t>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10AD4" w14:textId="6065B5F8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921D6" w14:textId="583B2EE1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Kaišiadorių pensininkų klubas</w:t>
            </w:r>
          </w:p>
        </w:tc>
      </w:tr>
      <w:tr w:rsidR="00AA6D8E" w:rsidRPr="00AA6D8E" w14:paraId="0CC260C2" w14:textId="77777777" w:rsidTr="00B82309">
        <w:trPr>
          <w:trHeight w:val="7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F6037" w14:textId="744BA3C0" w:rsidR="00AA6D8E" w:rsidRPr="00AA6D8E" w:rsidRDefault="00D81B5D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3.3.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AE922" w14:textId="1DFD2E1A" w:rsidR="00AA6D8E" w:rsidRPr="00AA6D8E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AA6D8E">
              <w:rPr>
                <w:color w:val="000000"/>
                <w:sz w:val="24"/>
                <w:szCs w:val="24"/>
                <w:lang w:val="lt-LT"/>
              </w:rPr>
              <w:t>Fizinio aktyvumo skatinimas Žaslių seniūnijoje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E38253" w14:textId="1F72FE6E" w:rsidR="00CB4F3D" w:rsidRPr="00007C2F" w:rsidRDefault="00CB4F3D" w:rsidP="00007C2F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color w:val="FF0000"/>
                <w:sz w:val="24"/>
                <w:szCs w:val="24"/>
                <w:lang w:val="lt-LT" w:eastAsia="en-US"/>
              </w:rPr>
            </w:pPr>
            <w:r w:rsidRPr="00007C2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Tikslinė grupė: </w:t>
            </w:r>
            <w:r w:rsidR="00007C2F" w:rsidRPr="00007C2F">
              <w:rPr>
                <w:rFonts w:eastAsiaTheme="minorHAnsi" w:cs="Times New Roman"/>
                <w:sz w:val="24"/>
                <w:szCs w:val="24"/>
                <w:lang w:val="lt-LT" w:eastAsia="en-US"/>
              </w:rPr>
              <w:t>Žaslių seniūnijos gyventojai</w:t>
            </w:r>
            <w:r w:rsidR="00007C2F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nuo 14 iki 60 m. ir daugiau.</w:t>
            </w:r>
          </w:p>
          <w:p w14:paraId="1A0B5709" w14:textId="3D4B960A" w:rsidR="00CB4F3D" w:rsidRDefault="00CB4F3D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</w:t>
            </w:r>
          </w:p>
          <w:p w14:paraId="7B28BF41" w14:textId="77777777" w:rsidR="00CB4F3D" w:rsidRDefault="00CB4F3D" w:rsidP="00CB4F3D">
            <w:pPr>
              <w:pStyle w:val="Sraopastraipa"/>
              <w:numPr>
                <w:ilvl w:val="0"/>
                <w:numId w:val="11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Skatinti gyventojų fizinį aktyvumą, įtraukiant juos į reguliarias </w:t>
            </w:r>
          </w:p>
          <w:p w14:paraId="79CC81E9" w14:textId="698DC406" w:rsidR="00CB4F3D" w:rsidRPr="00CB4F3D" w:rsidRDefault="00CB4F3D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sportines veiklas</w:t>
            </w:r>
            <w:r w:rsidR="00D941DF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.</w:t>
            </w:r>
          </w:p>
          <w:p w14:paraId="1B1C1057" w14:textId="77777777" w:rsidR="00CB4F3D" w:rsidRDefault="00CB4F3D" w:rsidP="00CB4F3D">
            <w:pPr>
              <w:pStyle w:val="Sraopastraipa"/>
              <w:numPr>
                <w:ilvl w:val="0"/>
                <w:numId w:val="11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Sudominti sportu ir sportuoti aktyviau; ugdyti bendrystės jausmą </w:t>
            </w:r>
          </w:p>
          <w:p w14:paraId="3079EE25" w14:textId="4097A997" w:rsidR="00CB4F3D" w:rsidRPr="00CB4F3D" w:rsidRDefault="00D941DF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s</w:t>
            </w:r>
            <w:r w:rsidR="00CB4F3D" w:rsidRP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portuojant</w:t>
            </w:r>
            <w:r w:rsid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</w:t>
            </w:r>
            <w:r w:rsidR="00CB4F3D" w:rsidRP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bendruomenėje</w:t>
            </w:r>
            <w:r w:rsidR="00CB4F3D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.</w:t>
            </w:r>
          </w:p>
          <w:p w14:paraId="4F9434B1" w14:textId="01A07A19" w:rsidR="00AA6D8E" w:rsidRDefault="00CB4F3D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</w:t>
            </w:r>
            <w:r w:rsidR="00D941DF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</w:p>
          <w:p w14:paraId="24CF59A1" w14:textId="6F7E33A9" w:rsidR="008C7ECA" w:rsidRDefault="008C7ECA" w:rsidP="008C7ECA">
            <w:pPr>
              <w:pStyle w:val="Sraopastraipa"/>
              <w:numPr>
                <w:ilvl w:val="0"/>
                <w:numId w:val="13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Veiklose dalyvavusių asmenų skaičius: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0–14 metų </w:t>
            </w:r>
            <w:r w:rsidR="00D941DF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–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12; 15–</w:t>
            </w:r>
          </w:p>
          <w:p w14:paraId="19DE1B44" w14:textId="2015F942" w:rsidR="008C7ECA" w:rsidRPr="008C7ECA" w:rsidRDefault="008C7ECA" w:rsidP="008C7ECA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29 metų </w:t>
            </w:r>
            <w:r w:rsidR="00D941DF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–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54; 30–60 metų </w:t>
            </w:r>
            <w:r w:rsidR="00D941DF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–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58; daugiau kaip 60 metų</w:t>
            </w:r>
            <w:r w:rsidR="00335D58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–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10</w:t>
            </w:r>
            <w:r w:rsidR="00335D58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asmenų.</w:t>
            </w:r>
          </w:p>
          <w:p w14:paraId="47E9E91B" w14:textId="6B9BB52D" w:rsidR="008C7ECA" w:rsidRPr="008C7ECA" w:rsidRDefault="008C7ECA" w:rsidP="008C7ECA">
            <w:pPr>
              <w:pStyle w:val="Sraopastraipa"/>
              <w:numPr>
                <w:ilvl w:val="0"/>
                <w:numId w:val="13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Projekto „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Žaslietiškas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komandini</w:t>
            </w:r>
            <w:r w:rsidR="00D941DF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s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triatlonas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“ tikslai buvo </w:t>
            </w:r>
          </w:p>
          <w:p w14:paraId="03B6596C" w14:textId="3318E08C" w:rsidR="008C7ECA" w:rsidRPr="008C7ECA" w:rsidRDefault="008C7ECA" w:rsidP="008C7ECA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orientuoti į gyventojų fizinio aktyvumo skatinimą ir įtraukimą į reguliarias sportines veiklas, taip pat siekiama sukurti prieinamas varžybas, kurios būtų tinkamos ir mažiau fiziškai aktyviems asmenims. </w:t>
            </w:r>
            <w:r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Todėl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projekto tikslas buvo suorganizuoti komandinį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triatloną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, kuriame galėtų dalyvauti tiek pradedantieji, tiek jau aktyviai sportuojantys žmonės. Toks renginys leistų ne tik skatinti sportą, bet ir ugdyti bendrystės jausmą, nes varžybos yra komandinės.</w:t>
            </w:r>
          </w:p>
          <w:p w14:paraId="05914606" w14:textId="1ED2EBCE" w:rsidR="008C7ECA" w:rsidRPr="00B500A5" w:rsidRDefault="008C7ECA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B500A5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Projektas viešintas:</w:t>
            </w:r>
          </w:p>
          <w:p w14:paraId="272C174E" w14:textId="06082675" w:rsidR="008C7ECA" w:rsidRPr="008C7ECA" w:rsidRDefault="008C7ECA" w:rsidP="00CB4F3D">
            <w:pPr>
              <w:pStyle w:val="Sraopastraipa"/>
              <w:numPr>
                <w:ilvl w:val="0"/>
                <w:numId w:val="12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Kaisiadorieciams.lt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,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atspindziai.lt</w:t>
            </w:r>
            <w:proofErr w:type="spellEnd"/>
            <w:r w:rsidR="00335D58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.</w:t>
            </w:r>
          </w:p>
          <w:p w14:paraId="31381A17" w14:textId="01B802F1" w:rsidR="008C7ECA" w:rsidRPr="008C7ECA" w:rsidRDefault="008C7ECA" w:rsidP="00CB4F3D">
            <w:pPr>
              <w:pStyle w:val="Sraopastraipa"/>
              <w:numPr>
                <w:ilvl w:val="0"/>
                <w:numId w:val="12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Savivaldybės interneto svetainė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Kaisiadorys.lt</w:t>
            </w:r>
            <w:proofErr w:type="spellEnd"/>
            <w:r w:rsidR="00335D58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.</w:t>
            </w:r>
          </w:p>
          <w:p w14:paraId="0E076D0D" w14:textId="0B558004" w:rsidR="008C7ECA" w:rsidRPr="008C7ECA" w:rsidRDefault="008C7ECA" w:rsidP="008C7ECA">
            <w:pPr>
              <w:pStyle w:val="Sraopastraipa"/>
              <w:numPr>
                <w:ilvl w:val="0"/>
                <w:numId w:val="12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Juridinio asmens interneto svetainė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Aplinkzasliuezera.lt</w:t>
            </w:r>
            <w:proofErr w:type="spellEnd"/>
            <w:r w:rsidR="00335D58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.</w:t>
            </w:r>
          </w:p>
          <w:p w14:paraId="7752446A" w14:textId="423EBD9A" w:rsidR="008C7ECA" w:rsidRPr="008C7ECA" w:rsidRDefault="008C7ECA" w:rsidP="008C7ECA">
            <w:pPr>
              <w:pStyle w:val="Sraopastraipa"/>
              <w:numPr>
                <w:ilvl w:val="0"/>
                <w:numId w:val="12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Socialiniai tinklai </w:t>
            </w:r>
            <w:r w:rsidRPr="00335D58">
              <w:rPr>
                <w:rFonts w:eastAsiaTheme="minorHAnsi" w:cs="Times New Roman"/>
                <w:bCs/>
                <w:i/>
                <w:iCs/>
                <w:sz w:val="24"/>
                <w:szCs w:val="24"/>
                <w:lang w:val="lt-LT" w:eastAsia="en-US"/>
              </w:rPr>
              <w:t>Facebook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: Kaišiadorių </w:t>
            </w:r>
          </w:p>
          <w:p w14:paraId="79D36A9E" w14:textId="2A179391" w:rsidR="008C7ECA" w:rsidRPr="008C7ECA" w:rsidRDefault="008C7ECA" w:rsidP="008C7ECA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</w:pP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saivvaldybė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;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Zasliai.lt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;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atspindziai.lt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; </w:t>
            </w:r>
            <w:proofErr w:type="spellStart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kaisiadorieciams.lt</w:t>
            </w:r>
            <w:proofErr w:type="spellEnd"/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; RK</w:t>
            </w:r>
          </w:p>
          <w:p w14:paraId="1D0F81BE" w14:textId="77777777" w:rsidR="008C7ECA" w:rsidRDefault="008C7ECA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 xml:space="preserve">nuotykiai; Kaisiadorys2024; </w:t>
            </w:r>
            <w:r w:rsidRPr="00BA0F05">
              <w:rPr>
                <w:lang w:val="lt-LT"/>
              </w:rPr>
              <w:t xml:space="preserve"> </w:t>
            </w:r>
            <w:r w:rsidRPr="008C7ECA">
              <w:rPr>
                <w:rFonts w:eastAsiaTheme="minorHAnsi" w:cs="Times New Roman"/>
                <w:bCs/>
                <w:sz w:val="24"/>
                <w:szCs w:val="24"/>
                <w:lang w:val="lt-LT" w:eastAsia="en-US"/>
              </w:rPr>
              <w:t>plakatai iškabinti Žaslių miestelyje</w:t>
            </w:r>
            <w:r w:rsidR="00D9450C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. </w:t>
            </w:r>
          </w:p>
          <w:p w14:paraId="576E9E4F" w14:textId="4898E101" w:rsidR="00D9450C" w:rsidRPr="00AA6D8E" w:rsidRDefault="00D9450C" w:rsidP="00CB4F3D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1830" w14:textId="646366F5" w:rsidR="00AA6D8E" w:rsidRPr="00AA6D8E" w:rsidRDefault="00D9450C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sz w:val="24"/>
                <w:szCs w:val="24"/>
                <w:lang w:val="lt-LT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BAF5" w14:textId="7A27EC6C" w:rsidR="00AA6D8E" w:rsidRP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AA6D8E">
              <w:rPr>
                <w:rFonts w:cs="Times New Roman"/>
                <w:sz w:val="24"/>
                <w:szCs w:val="24"/>
                <w:lang w:val="lt-LT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3AD3" w14:textId="0B8869D1" w:rsidR="00AA6D8E" w:rsidRP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AA6D8E">
              <w:rPr>
                <w:sz w:val="24"/>
                <w:szCs w:val="24"/>
                <w:lang w:val="lt-LT"/>
              </w:rPr>
              <w:t>Asociacija ,,Aplink Žaslius“</w:t>
            </w:r>
          </w:p>
        </w:tc>
      </w:tr>
      <w:tr w:rsidR="00AA6D8E" w:rsidRPr="00FC5F02" w14:paraId="561E87BF" w14:textId="77777777" w:rsidTr="00B82309">
        <w:trPr>
          <w:trHeight w:val="79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378ED5" w14:textId="2BE012EA" w:rsidR="00AA6D8E" w:rsidRDefault="00D81B5D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lastRenderedPageBreak/>
              <w:t>3.4.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6F5A66" w14:textId="289D991C" w:rsidR="00AA6D8E" w:rsidRPr="00363DCA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363DCA">
              <w:rPr>
                <w:rFonts w:cs="Times New Roman"/>
                <w:sz w:val="24"/>
                <w:szCs w:val="24"/>
                <w:lang w:val="lt-LT"/>
              </w:rPr>
              <w:t>2023 m. Vandens procedūrų ir kitų užimtumo priemonių įtaka sveikatos stiprinimui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BCD94B" w14:textId="65388CCC" w:rsidR="00AA6D8E" w:rsidRPr="00D66FAA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</w:t>
            </w:r>
            <w:r w:rsidR="00D66FAA" w:rsidRPr="00D66FAA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38 </w:t>
            </w:r>
            <w:r w:rsidRPr="00D66FAA">
              <w:rPr>
                <w:sz w:val="24"/>
                <w:szCs w:val="24"/>
                <w:lang w:val="lt-LT"/>
              </w:rPr>
              <w:t>draugijos nariai</w:t>
            </w:r>
            <w:r w:rsidR="00335D58">
              <w:rPr>
                <w:sz w:val="24"/>
                <w:szCs w:val="24"/>
                <w:lang w:val="lt-LT"/>
              </w:rPr>
              <w:t>.</w:t>
            </w:r>
          </w:p>
          <w:p w14:paraId="25E902B7" w14:textId="61D3AA94" w:rsidR="00AA6D8E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D92E06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</w:t>
            </w:r>
            <w:r w:rsidR="00335D58">
              <w:rPr>
                <w:rFonts w:eastAsiaTheme="minorHAnsi" w:cs="Times New Roman"/>
                <w:sz w:val="24"/>
                <w:szCs w:val="24"/>
                <w:lang w:val="lt-LT" w:eastAsia="en-US"/>
              </w:rPr>
              <w:t>n</w:t>
            </w:r>
            <w:r w:rsidR="00D66FAA" w:rsidRPr="00D66FAA">
              <w:rPr>
                <w:rFonts w:eastAsiaTheme="minorHAnsi" w:cs="Times New Roman"/>
                <w:sz w:val="24"/>
                <w:szCs w:val="24"/>
                <w:lang w:val="lt-LT" w:eastAsia="en-US"/>
              </w:rPr>
              <w:t>uosekliai skatinti ir tobuli</w:t>
            </w:r>
            <w:r w:rsidR="00D66FAA">
              <w:rPr>
                <w:rFonts w:eastAsiaTheme="minorHAnsi" w:cs="Times New Roman"/>
                <w:sz w:val="24"/>
                <w:szCs w:val="24"/>
                <w:lang w:val="lt-LT" w:eastAsia="en-US"/>
              </w:rPr>
              <w:t>n</w:t>
            </w:r>
            <w:r w:rsidR="00D66FAA" w:rsidRPr="00D66FAA">
              <w:rPr>
                <w:rFonts w:eastAsiaTheme="minorHAnsi" w:cs="Times New Roman"/>
                <w:sz w:val="24"/>
                <w:szCs w:val="24"/>
                <w:lang w:val="lt-LT" w:eastAsia="en-US"/>
              </w:rPr>
              <w:t>ti sveikos gyvensenos įpročius, padėti formuoti sveiką gyvenseną, mitybą</w:t>
            </w:r>
            <w:r w:rsidR="00D66FAA">
              <w:rPr>
                <w:rFonts w:eastAsiaTheme="minorHAnsi" w:cs="Times New Roman"/>
                <w:sz w:val="24"/>
                <w:szCs w:val="24"/>
                <w:lang w:val="lt-LT" w:eastAsia="en-US"/>
              </w:rPr>
              <w:t>. Surengti dvi sveikatingumo stovyklas su aktyviomis fizinėmis veiklomis ir seminarais.</w:t>
            </w:r>
          </w:p>
          <w:p w14:paraId="1CC87D6A" w14:textId="13D94E23" w:rsidR="00AA6D8E" w:rsidRDefault="00AA6D8E" w:rsidP="00AA6D8E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i</w:t>
            </w:r>
            <w:r w:rsidRPr="00AC5BD0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: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</w:p>
          <w:p w14:paraId="4FE3CE26" w14:textId="77777777" w:rsidR="00D9450C" w:rsidRDefault="000A06A1" w:rsidP="000A06A1">
            <w:pPr>
              <w:pStyle w:val="Sraopastraipa"/>
              <w:numPr>
                <w:ilvl w:val="0"/>
                <w:numId w:val="15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0A06A1">
              <w:rPr>
                <w:rFonts w:eastAsiaTheme="minorHAnsi" w:cs="Times New Roman"/>
                <w:sz w:val="24"/>
                <w:szCs w:val="24"/>
                <w:lang w:val="lt-LT" w:eastAsia="en-US"/>
              </w:rPr>
              <w:t>Organizuotos 2  dviejų dienų sveikatingumo stovyklos</w:t>
            </w: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, po 38 </w:t>
            </w:r>
          </w:p>
          <w:p w14:paraId="3F1F376D" w14:textId="54512816" w:rsidR="000A06A1" w:rsidRPr="00D9450C" w:rsidRDefault="000A06A1" w:rsidP="00D9450C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draugijos narius (vyko mankštos, relaksacinė garsų terapija, užsiėmimai baseine ir pirtyse)</w:t>
            </w:r>
            <w:r w:rsidR="00335D58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20AD6716" w14:textId="77777777" w:rsidR="00D9450C" w:rsidRDefault="000A06A1" w:rsidP="000A06A1">
            <w:pPr>
              <w:pStyle w:val="Sraopastraipa"/>
              <w:numPr>
                <w:ilvl w:val="0"/>
                <w:numId w:val="15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Vyko 2 seminarai apie </w:t>
            </w:r>
            <w:proofErr w:type="spellStart"/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>sveikatinančią</w:t>
            </w:r>
            <w:proofErr w:type="spellEnd"/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mitybą ir jos svarbą žmogaus </w:t>
            </w:r>
          </w:p>
          <w:p w14:paraId="6459A479" w14:textId="4F4F2D71" w:rsidR="000A06A1" w:rsidRPr="00D9450C" w:rsidRDefault="000A06A1" w:rsidP="00D9450C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organizmui (38 draugijos nariai)</w:t>
            </w:r>
            <w:r w:rsidR="00335D58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  <w:p w14:paraId="6B2BE27C" w14:textId="77777777" w:rsidR="00D9450C" w:rsidRDefault="000A06A1" w:rsidP="000A06A1">
            <w:pPr>
              <w:pStyle w:val="Sraopastraipa"/>
              <w:numPr>
                <w:ilvl w:val="0"/>
                <w:numId w:val="15"/>
              </w:num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Vyko 2 seminarai apie fizinio aktyvumo naudą ir svarbą bei </w:t>
            </w:r>
          </w:p>
          <w:p w14:paraId="2BCAA343" w14:textId="2A4D1BAF" w:rsidR="000A06A1" w:rsidRPr="00D9450C" w:rsidRDefault="000A06A1" w:rsidP="00D9450C">
            <w:pPr>
              <w:snapToGrid w:val="0"/>
              <w:spacing w:line="256" w:lineRule="auto"/>
              <w:ind w:right="35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r w:rsidRPr="00D9450C">
              <w:rPr>
                <w:rFonts w:eastAsiaTheme="minorHAnsi" w:cs="Times New Roman"/>
                <w:sz w:val="24"/>
                <w:szCs w:val="24"/>
                <w:lang w:val="lt-LT" w:eastAsia="en-US"/>
              </w:rPr>
              <w:t>žmogaus atsakomybės už savo sveikatą skatinimą (38 draugijos nariai).</w:t>
            </w:r>
          </w:p>
          <w:p w14:paraId="49EBA670" w14:textId="4EA61675" w:rsidR="000A06A1" w:rsidRPr="000A06A1" w:rsidRDefault="000A06A1" w:rsidP="000A06A1">
            <w:pPr>
              <w:snapToGrid w:val="0"/>
              <w:spacing w:line="256" w:lineRule="auto"/>
              <w:ind w:left="360" w:right="35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0A06A1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Projektas viešintas:</w:t>
            </w:r>
            <w:r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</w:t>
            </w:r>
            <w:r w:rsidRPr="000A06A1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2024-06-14 ir 2024-10-16 socialiniame </w:t>
            </w:r>
            <w:r w:rsidR="00335D58" w:rsidRPr="00335D58">
              <w:rPr>
                <w:rFonts w:eastAsiaTheme="minorHAnsi" w:cs="Times New Roman"/>
                <w:i/>
                <w:iCs/>
                <w:sz w:val="24"/>
                <w:szCs w:val="24"/>
                <w:lang w:val="lt-LT" w:eastAsia="en-US"/>
              </w:rPr>
              <w:t>F</w:t>
            </w:r>
            <w:r w:rsidRPr="00335D58">
              <w:rPr>
                <w:rFonts w:eastAsiaTheme="minorHAnsi" w:cs="Times New Roman"/>
                <w:i/>
                <w:iCs/>
                <w:sz w:val="24"/>
                <w:szCs w:val="24"/>
                <w:lang w:val="lt-LT" w:eastAsia="en-US"/>
              </w:rPr>
              <w:t>acebo</w:t>
            </w:r>
            <w:r w:rsidR="00335D58" w:rsidRPr="00335D58">
              <w:rPr>
                <w:rFonts w:eastAsiaTheme="minorHAnsi" w:cs="Times New Roman"/>
                <w:i/>
                <w:iCs/>
                <w:sz w:val="24"/>
                <w:szCs w:val="24"/>
                <w:lang w:val="lt-LT" w:eastAsia="en-US"/>
              </w:rPr>
              <w:t>o</w:t>
            </w:r>
            <w:r w:rsidRPr="00335D58">
              <w:rPr>
                <w:rFonts w:eastAsiaTheme="minorHAnsi" w:cs="Times New Roman"/>
                <w:i/>
                <w:iCs/>
                <w:sz w:val="24"/>
                <w:szCs w:val="24"/>
                <w:lang w:val="lt-LT" w:eastAsia="en-US"/>
              </w:rPr>
              <w:t xml:space="preserve">k </w:t>
            </w:r>
            <w:r w:rsidRPr="000A06A1">
              <w:rPr>
                <w:rFonts w:eastAsiaTheme="minorHAnsi" w:cs="Times New Roman"/>
                <w:sz w:val="24"/>
                <w:szCs w:val="24"/>
                <w:lang w:val="lt-LT" w:eastAsia="en-US"/>
              </w:rPr>
              <w:t>puslapyje.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F70B" w14:textId="1ED6B4BE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5177" w14:textId="041C2665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1000,00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0E6F" w14:textId="7E311ECC" w:rsidR="00AA6D8E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Kaišiadorių krašto neįgaliųjų sąjunga</w:t>
            </w:r>
          </w:p>
        </w:tc>
      </w:tr>
      <w:tr w:rsidR="00AA6D8E" w:rsidRPr="00BA0F05" w14:paraId="66079BD3" w14:textId="77777777" w:rsidTr="00B82309">
        <w:trPr>
          <w:trHeight w:val="461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F4E524" w14:textId="5B0925C0" w:rsidR="00AA6D8E" w:rsidRPr="00D9450C" w:rsidRDefault="00AA6D8E" w:rsidP="00D9450C">
            <w:pPr>
              <w:pStyle w:val="Sraopastraipa"/>
              <w:numPr>
                <w:ilvl w:val="0"/>
                <w:numId w:val="15"/>
              </w:num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D9450C">
              <w:rPr>
                <w:b/>
                <w:bCs/>
                <w:color w:val="000000"/>
                <w:sz w:val="24"/>
                <w:szCs w:val="24"/>
                <w:lang w:val="lt-LT"/>
              </w:rPr>
              <w:t>Gyvenamosios aplinkos sveikatinimas (maudyklų vandens stebėsena)</w:t>
            </w:r>
          </w:p>
        </w:tc>
      </w:tr>
      <w:tr w:rsidR="00AA6D8E" w:rsidRPr="00BA0F05" w14:paraId="6515211C" w14:textId="77777777" w:rsidTr="00B82309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C44232" w14:textId="050C4A3E" w:rsidR="00AA6D8E" w:rsidRPr="001B3088" w:rsidRDefault="00D9450C" w:rsidP="00AA6D8E">
            <w:pPr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4.1.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3C2C3C93" w14:textId="532DA0C6" w:rsidR="00AA6D8E" w:rsidRPr="001B3088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 w:eastAsia="en-US"/>
              </w:rPr>
            </w:pPr>
            <w:r w:rsidRPr="001B3088">
              <w:rPr>
                <w:sz w:val="24"/>
                <w:szCs w:val="24"/>
                <w:lang w:val="lt-LT"/>
              </w:rPr>
              <w:t>Maudyklų</w:t>
            </w:r>
            <w:r w:rsidR="00BA0F05">
              <w:rPr>
                <w:sz w:val="24"/>
                <w:szCs w:val="24"/>
                <w:lang w:val="lt-LT"/>
              </w:rPr>
              <w:t xml:space="preserve"> </w:t>
            </w:r>
            <w:r w:rsidRPr="001B3088">
              <w:rPr>
                <w:sz w:val="24"/>
                <w:szCs w:val="24"/>
                <w:lang w:val="lt-LT"/>
              </w:rPr>
              <w:t>/</w:t>
            </w:r>
            <w:r w:rsidR="00BA0F05">
              <w:rPr>
                <w:sz w:val="24"/>
                <w:szCs w:val="24"/>
                <w:lang w:val="lt-LT"/>
              </w:rPr>
              <w:t xml:space="preserve"> </w:t>
            </w:r>
            <w:r w:rsidRPr="001B3088">
              <w:rPr>
                <w:sz w:val="24"/>
                <w:szCs w:val="24"/>
                <w:lang w:val="lt-LT"/>
              </w:rPr>
              <w:t xml:space="preserve">rekreacinių zonų prie vandens telkinių stebėsena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B52242" w14:textId="42387AF5" w:rsidR="00AA6D8E" w:rsidRPr="001B3088" w:rsidRDefault="00AA6D8E" w:rsidP="00AA6D8E">
            <w:pPr>
              <w:widowControl/>
              <w:suppressAutoHyphens w:val="0"/>
              <w:overflowPunct/>
              <w:autoSpaceDE/>
              <w:autoSpaceDN w:val="0"/>
              <w:spacing w:after="160" w:line="256" w:lineRule="auto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</w:t>
            </w:r>
            <w:r w:rsidRPr="001B3088">
              <w:rPr>
                <w:sz w:val="24"/>
                <w:szCs w:val="24"/>
                <w:lang w:val="lt-LT"/>
              </w:rPr>
              <w:t xml:space="preserve">29 338 </w:t>
            </w:r>
            <w:r w:rsidRPr="001B3088">
              <w:rPr>
                <w:bCs/>
                <w:sz w:val="24"/>
                <w:szCs w:val="24"/>
                <w:lang w:val="lt-LT"/>
              </w:rPr>
              <w:t>Kaišiadorių rajono gyventojai</w:t>
            </w:r>
            <w:r w:rsidR="00335D58">
              <w:rPr>
                <w:bCs/>
                <w:sz w:val="24"/>
                <w:szCs w:val="24"/>
                <w:lang w:val="lt-LT"/>
              </w:rPr>
              <w:t>.</w:t>
            </w:r>
          </w:p>
          <w:p w14:paraId="29F0430D" w14:textId="081F0852" w:rsidR="00AA6D8E" w:rsidRPr="001B3088" w:rsidRDefault="00AA6D8E" w:rsidP="00AA6D8E">
            <w:pPr>
              <w:widowControl/>
              <w:suppressAutoHyphens w:val="0"/>
              <w:overflowPunct/>
              <w:autoSpaceDE/>
              <w:autoSpaceDN w:val="0"/>
              <w:spacing w:after="160" w:line="256" w:lineRule="auto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</w:t>
            </w:r>
            <w:r w:rsidRPr="001B3088">
              <w:rPr>
                <w:sz w:val="24"/>
                <w:szCs w:val="24"/>
                <w:lang w:val="lt-LT"/>
              </w:rPr>
              <w:t xml:space="preserve"> </w:t>
            </w:r>
            <w:r w:rsidR="00335D58">
              <w:rPr>
                <w:sz w:val="24"/>
                <w:szCs w:val="24"/>
                <w:lang w:val="lt-LT"/>
              </w:rPr>
              <w:t>s</w:t>
            </w:r>
            <w:r w:rsidRPr="001B3088">
              <w:rPr>
                <w:sz w:val="24"/>
                <w:szCs w:val="24"/>
                <w:lang w:val="lt-LT"/>
              </w:rPr>
              <w:t>tebėti bei tirti aplinką ir įspėti visuomenę apie pavojų užsikrėsti užkrečiamomis žarnyno bei parazitinėmis ligomis.</w:t>
            </w:r>
          </w:p>
          <w:p w14:paraId="67BFC092" w14:textId="2C7A0D06" w:rsidR="00AA6D8E" w:rsidRPr="001B3088" w:rsidRDefault="00AA6D8E" w:rsidP="001B3088">
            <w:pPr>
              <w:snapToGrid w:val="0"/>
              <w:spacing w:line="256" w:lineRule="auto"/>
              <w:jc w:val="both"/>
              <w:rPr>
                <w:sz w:val="24"/>
                <w:szCs w:val="24"/>
                <w:lang w:val="lt-LT"/>
              </w:rPr>
            </w:pPr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Rezultatas: </w:t>
            </w:r>
            <w:r w:rsidR="001B3088" w:rsidRPr="001B3088">
              <w:rPr>
                <w:sz w:val="24"/>
                <w:szCs w:val="24"/>
                <w:lang w:val="lt-LT"/>
              </w:rPr>
              <w:t>2024  m. vykdyta Kaišiadorių rajono savivaldybės maudyklų</w:t>
            </w:r>
            <w:r w:rsidR="00335D58">
              <w:rPr>
                <w:sz w:val="24"/>
                <w:szCs w:val="24"/>
                <w:lang w:val="lt-LT"/>
              </w:rPr>
              <w:t xml:space="preserve"> </w:t>
            </w:r>
            <w:r w:rsidR="001B3088" w:rsidRPr="001B3088">
              <w:rPr>
                <w:sz w:val="24"/>
                <w:szCs w:val="24"/>
                <w:lang w:val="lt-LT"/>
              </w:rPr>
              <w:t>/</w:t>
            </w:r>
            <w:r w:rsidR="00335D58">
              <w:rPr>
                <w:sz w:val="24"/>
                <w:szCs w:val="24"/>
                <w:lang w:val="lt-LT"/>
              </w:rPr>
              <w:t xml:space="preserve"> </w:t>
            </w:r>
            <w:r w:rsidR="001B3088" w:rsidRPr="001B3088">
              <w:rPr>
                <w:sz w:val="24"/>
                <w:szCs w:val="24"/>
                <w:lang w:val="lt-LT"/>
              </w:rPr>
              <w:t xml:space="preserve">rekreacinių zonų prie vandens telkinių stebėsena. Maudymosi sezono metu (gegužės 26 – rugsėjo 10 d.) iš 9 vandens telkinių (Girelės ir </w:t>
            </w:r>
            <w:proofErr w:type="spellStart"/>
            <w:r w:rsidR="001B3088" w:rsidRPr="001B3088">
              <w:rPr>
                <w:sz w:val="24"/>
                <w:szCs w:val="24"/>
                <w:lang w:val="lt-LT"/>
              </w:rPr>
              <w:t>Ščebnicos</w:t>
            </w:r>
            <w:proofErr w:type="spellEnd"/>
            <w:r w:rsidR="001B3088" w:rsidRPr="001B3088">
              <w:rPr>
                <w:sz w:val="24"/>
                <w:szCs w:val="24"/>
                <w:lang w:val="lt-LT"/>
              </w:rPr>
              <w:t xml:space="preserve"> tvenkinių, Kalvių ežero, Kiemelių ežero, </w:t>
            </w:r>
            <w:proofErr w:type="spellStart"/>
            <w:r w:rsidR="001B3088" w:rsidRPr="001B3088">
              <w:rPr>
                <w:sz w:val="24"/>
                <w:szCs w:val="24"/>
                <w:lang w:val="lt-LT"/>
              </w:rPr>
              <w:t>Neprėkštos</w:t>
            </w:r>
            <w:proofErr w:type="spellEnd"/>
            <w:r w:rsidR="001B3088" w:rsidRPr="001B3088">
              <w:rPr>
                <w:sz w:val="24"/>
                <w:szCs w:val="24"/>
                <w:lang w:val="lt-LT"/>
              </w:rPr>
              <w:t xml:space="preserve"> ežero, Vilūnų ežero, Žaslių ežero, Statkūnišk</w:t>
            </w:r>
            <w:r w:rsidR="00335D58">
              <w:rPr>
                <w:sz w:val="24"/>
                <w:szCs w:val="24"/>
                <w:lang w:val="lt-LT"/>
              </w:rPr>
              <w:t>ės</w:t>
            </w:r>
            <w:r w:rsidR="001B3088" w:rsidRPr="001B3088">
              <w:rPr>
                <w:sz w:val="24"/>
                <w:szCs w:val="24"/>
                <w:lang w:val="lt-LT"/>
              </w:rPr>
              <w:t xml:space="preserve"> ežero, </w:t>
            </w:r>
            <w:proofErr w:type="spellStart"/>
            <w:r w:rsidR="001B3088" w:rsidRPr="001B3088">
              <w:rPr>
                <w:sz w:val="24"/>
                <w:szCs w:val="24"/>
                <w:lang w:val="lt-LT"/>
              </w:rPr>
              <w:t>Limino</w:t>
            </w:r>
            <w:proofErr w:type="spellEnd"/>
            <w:r w:rsidR="001B3088" w:rsidRPr="001B3088">
              <w:rPr>
                <w:sz w:val="24"/>
                <w:szCs w:val="24"/>
                <w:lang w:val="lt-LT"/>
              </w:rPr>
              <w:t xml:space="preserve"> ežero) buvo paimta 162 mėginiai, iš jų vieno mikrobiologinių tyrimų rezultatas viršijo leistinas normas. Gyventojams informacija buvo pateikta informaciniuose stenduose, Kaišiadorių r. sav. visuomenės sveikatos biuro internet</w:t>
            </w:r>
            <w:r w:rsidR="00335D58">
              <w:rPr>
                <w:sz w:val="24"/>
                <w:szCs w:val="24"/>
                <w:lang w:val="lt-LT"/>
              </w:rPr>
              <w:t>o</w:t>
            </w:r>
            <w:r w:rsidR="001B3088" w:rsidRPr="001B3088">
              <w:rPr>
                <w:sz w:val="24"/>
                <w:szCs w:val="24"/>
                <w:lang w:val="lt-LT"/>
              </w:rPr>
              <w:t xml:space="preserve"> svetainėje (www.kaisiadorysvsb.lt) ir </w:t>
            </w:r>
            <w:r w:rsidR="001B3088" w:rsidRPr="00335D58">
              <w:rPr>
                <w:i/>
                <w:iCs/>
                <w:sz w:val="24"/>
                <w:szCs w:val="24"/>
                <w:lang w:val="lt-LT"/>
              </w:rPr>
              <w:t>Facebook</w:t>
            </w:r>
            <w:r w:rsidR="001B3088" w:rsidRPr="001B3088">
              <w:rPr>
                <w:sz w:val="24"/>
                <w:szCs w:val="24"/>
                <w:lang w:val="lt-LT"/>
              </w:rPr>
              <w:t xml:space="preserve"> profilyje (11 informacinių pranešimų). Informacijos viešinimui įsigyti stendai (2 vnt.).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836C" w14:textId="5BD10DC2" w:rsidR="00AA6D8E" w:rsidRPr="001B3088" w:rsidRDefault="00D81B5D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2300</w:t>
            </w:r>
            <w:r w:rsidR="00276C25" w:rsidRPr="001B3088">
              <w:rPr>
                <w:rFonts w:cs="Times New Roman"/>
                <w:sz w:val="24"/>
                <w:szCs w:val="24"/>
                <w:lang w:val="lt-LT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388F0" w14:textId="7D56E818" w:rsidR="00AA6D8E" w:rsidRPr="001B3088" w:rsidRDefault="00D81B5D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1983,0</w:t>
            </w:r>
            <w:r w:rsidR="00B82309" w:rsidRPr="001B3088">
              <w:rPr>
                <w:rFonts w:cs="Times New Roman"/>
                <w:sz w:val="24"/>
                <w:szCs w:val="24"/>
                <w:lang w:val="lt-LT"/>
              </w:rPr>
              <w:t>0</w:t>
            </w:r>
          </w:p>
          <w:p w14:paraId="65FD8CAA" w14:textId="733931F0" w:rsidR="00D81B5D" w:rsidRPr="001B3088" w:rsidRDefault="00D81B5D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b/>
                <w:bCs/>
                <w:sz w:val="24"/>
                <w:szCs w:val="24"/>
                <w:lang w:val="lt-LT"/>
              </w:rPr>
              <w:t>(31</w:t>
            </w:r>
            <w:r w:rsidR="00B82309" w:rsidRPr="001B3088">
              <w:rPr>
                <w:rFonts w:cs="Times New Roman"/>
                <w:b/>
                <w:bCs/>
                <w:sz w:val="24"/>
                <w:szCs w:val="24"/>
                <w:lang w:val="lt-LT"/>
              </w:rPr>
              <w:t>7)</w:t>
            </w:r>
            <w:r w:rsidR="00500141" w:rsidRPr="001B3088">
              <w:rPr>
                <w:rFonts w:cs="Times New Roman"/>
                <w:b/>
                <w:bCs/>
                <w:sz w:val="24"/>
                <w:szCs w:val="24"/>
                <w:lang w:val="lt-LT"/>
              </w:rPr>
              <w:t xml:space="preserve"> likutis</w:t>
            </w:r>
            <w:r w:rsidRPr="001B3088">
              <w:rPr>
                <w:rFonts w:cs="Times New Roman"/>
                <w:b/>
                <w:bCs/>
                <w:sz w:val="24"/>
                <w:szCs w:val="24"/>
                <w:lang w:val="lt-LT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4C12" w14:textId="67211032" w:rsidR="00AA6D8E" w:rsidRPr="001B3088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Kaišiadorių rajono savivaldybės visuomenės sveikatos biuras</w:t>
            </w:r>
          </w:p>
        </w:tc>
      </w:tr>
      <w:tr w:rsidR="00AA6D8E" w:rsidRPr="00BA0F05" w14:paraId="085920DB" w14:textId="77777777" w:rsidTr="00B82309">
        <w:trPr>
          <w:trHeight w:val="475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D05EC" w14:textId="3A3D3C65" w:rsidR="00AA6D8E" w:rsidRPr="001B3088" w:rsidRDefault="008E2913" w:rsidP="00500141">
            <w:pPr>
              <w:pStyle w:val="Pagrindinistekstas"/>
              <w:widowControl w:val="0"/>
              <w:numPr>
                <w:ilvl w:val="1"/>
                <w:numId w:val="9"/>
              </w:numPr>
              <w:suppressAutoHyphens/>
              <w:overflowPunct w:val="0"/>
              <w:autoSpaceDE w:val="0"/>
              <w:ind w:firstLine="275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  <w:lang w:val="lt-LT"/>
              </w:rPr>
              <w:t>5</w:t>
            </w:r>
            <w:r w:rsidR="00D81B5D" w:rsidRPr="001B3088">
              <w:rPr>
                <w:b/>
                <w:bCs/>
              </w:rPr>
              <w:t>. Bendruomenės sveikatos raštingum</w:t>
            </w:r>
            <w:r w:rsidR="00500141" w:rsidRPr="001B3088">
              <w:rPr>
                <w:b/>
                <w:bCs/>
              </w:rPr>
              <w:t>o skatinimas</w:t>
            </w:r>
            <w:r w:rsidR="00D81B5D" w:rsidRPr="001B3088">
              <w:rPr>
                <w:b/>
                <w:bCs/>
              </w:rPr>
              <w:t>, sveikatos</w:t>
            </w:r>
            <w:r w:rsidR="00500141" w:rsidRPr="001B3088">
              <w:rPr>
                <w:b/>
                <w:bCs/>
              </w:rPr>
              <w:t xml:space="preserve"> </w:t>
            </w:r>
            <w:r w:rsidR="00D81B5D" w:rsidRPr="001B3088">
              <w:rPr>
                <w:b/>
                <w:bCs/>
              </w:rPr>
              <w:t>žinių populiarinim</w:t>
            </w:r>
            <w:r w:rsidR="00500141" w:rsidRPr="001B3088">
              <w:rPr>
                <w:b/>
                <w:bCs/>
              </w:rPr>
              <w:t>as, medikų bendruomenės telkimas ir motyvavimas</w:t>
            </w:r>
          </w:p>
        </w:tc>
      </w:tr>
      <w:tr w:rsidR="00AA6D8E" w:rsidRPr="00BA0F05" w14:paraId="23107FD0" w14:textId="77777777" w:rsidTr="00B82309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A40F74" w14:textId="4C287CB4" w:rsidR="00AA6D8E" w:rsidRPr="001B3088" w:rsidRDefault="008E2913" w:rsidP="00AA6D8E">
            <w:pPr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lastRenderedPageBreak/>
              <w:t>5</w:t>
            </w:r>
            <w:r w:rsidR="00AA6D8E" w:rsidRPr="001B3088">
              <w:rPr>
                <w:rFonts w:cs="Times New Roman"/>
                <w:sz w:val="24"/>
                <w:szCs w:val="24"/>
                <w:lang w:val="lt-LT"/>
              </w:rPr>
              <w:t>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0EF1BEA5" w14:textId="6804EE80" w:rsidR="00AA6D8E" w:rsidRPr="001B3088" w:rsidRDefault="00AA6D8E" w:rsidP="00AA6D8E">
            <w:pPr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bCs/>
                <w:sz w:val="24"/>
                <w:szCs w:val="24"/>
                <w:lang w:val="lt-LT"/>
              </w:rPr>
              <w:t>Bendruomenės sveikatos tarybos veiklos organizacinės išlaidos (Lietuvos medikų dienos renginio organizavimas, dalyvavimas Sveikatą stiprinančio Kauno regiono darbo grupės veikloje ir kt.)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966CC" w14:textId="18D82235" w:rsidR="00AA6D8E" w:rsidRPr="001B3088" w:rsidRDefault="00AA6D8E" w:rsidP="00500141">
            <w:pPr>
              <w:widowControl/>
              <w:suppressAutoHyphens w:val="0"/>
              <w:overflowPunct/>
              <w:autoSpaceDE/>
              <w:autoSpaceDN w:val="0"/>
              <w:spacing w:line="256" w:lineRule="auto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Tikslinė grupė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 </w:t>
            </w:r>
            <w:r w:rsidRPr="001B3088">
              <w:rPr>
                <w:rFonts w:cs="Times New Roman"/>
                <w:sz w:val="24"/>
                <w:szCs w:val="24"/>
                <w:lang w:val="lt-LT"/>
              </w:rPr>
              <w:t>medikų bendruomenė</w:t>
            </w:r>
            <w:r w:rsidR="00335D58">
              <w:rPr>
                <w:rFonts w:cs="Times New Roman"/>
                <w:sz w:val="24"/>
                <w:szCs w:val="24"/>
                <w:lang w:val="lt-LT"/>
              </w:rPr>
              <w:t>.</w:t>
            </w:r>
            <w:r w:rsidRPr="001B3088">
              <w:rPr>
                <w:rFonts w:cs="Times New Roman"/>
                <w:sz w:val="24"/>
                <w:szCs w:val="24"/>
                <w:lang w:val="lt-LT"/>
              </w:rPr>
              <w:t xml:space="preserve"> </w:t>
            </w:r>
          </w:p>
          <w:p w14:paraId="49E903B9" w14:textId="642AE82B" w:rsidR="00AA6D8E" w:rsidRPr="001B3088" w:rsidRDefault="00AA6D8E" w:rsidP="00500141">
            <w:pPr>
              <w:widowControl/>
              <w:suppressAutoHyphens w:val="0"/>
              <w:overflowPunct/>
              <w:autoSpaceDE/>
              <w:autoSpaceDN w:val="0"/>
              <w:spacing w:line="256" w:lineRule="auto"/>
              <w:jc w:val="both"/>
              <w:rPr>
                <w:rFonts w:cs="Times New Roman"/>
                <w:color w:val="000000"/>
                <w:sz w:val="24"/>
                <w:szCs w:val="24"/>
                <w:lang w:val="lt-LT"/>
              </w:rPr>
            </w:pPr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Tikslas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</w:t>
            </w:r>
            <w:r w:rsidRPr="001B3088">
              <w:rPr>
                <w:rFonts w:cs="Times New Roman"/>
                <w:sz w:val="24"/>
                <w:szCs w:val="24"/>
                <w:lang w:val="lt-LT"/>
              </w:rPr>
              <w:t xml:space="preserve"> </w:t>
            </w:r>
            <w:r w:rsidRPr="001B3088">
              <w:rPr>
                <w:rFonts w:cs="Times New Roman"/>
                <w:color w:val="000000"/>
                <w:sz w:val="24"/>
                <w:szCs w:val="24"/>
                <w:lang w:val="lt-LT"/>
              </w:rPr>
              <w:t>burti, motyvuoti visus savivaldybės medikus ir ugdyti draugiškus santykius</w:t>
            </w:r>
            <w:r w:rsidR="00335D58">
              <w:rPr>
                <w:rFonts w:cs="Times New Roman"/>
                <w:color w:val="000000"/>
                <w:sz w:val="24"/>
                <w:szCs w:val="24"/>
                <w:lang w:val="lt-LT"/>
              </w:rPr>
              <w:t>.</w:t>
            </w:r>
          </w:p>
          <w:p w14:paraId="51419A79" w14:textId="14278DDB" w:rsidR="00AA6D8E" w:rsidRPr="001B3088" w:rsidRDefault="00AA6D8E" w:rsidP="00500141">
            <w:pPr>
              <w:widowControl/>
              <w:suppressAutoHyphens w:val="0"/>
              <w:overflowPunct/>
              <w:autoSpaceDE/>
              <w:autoSpaceDN w:val="0"/>
              <w:spacing w:line="256" w:lineRule="auto"/>
              <w:jc w:val="both"/>
              <w:rPr>
                <w:rFonts w:eastAsiaTheme="minorHAnsi" w:cs="Times New Roman"/>
                <w:sz w:val="24"/>
                <w:szCs w:val="24"/>
                <w:lang w:val="lt-LT" w:eastAsia="en-US"/>
              </w:rPr>
            </w:pPr>
            <w:bookmarkStart w:id="0" w:name="_Hlk159932582"/>
            <w:r w:rsidRPr="001B308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>Rezultatas</w:t>
            </w:r>
            <w:r w:rsidR="00335D58"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  <w:t xml:space="preserve"> –</w:t>
            </w:r>
            <w:r w:rsidRPr="001B3088">
              <w:rPr>
                <w:rFonts w:eastAsiaTheme="minorHAnsi" w:cs="Times New Roman"/>
                <w:sz w:val="24"/>
                <w:szCs w:val="24"/>
                <w:lang w:val="lt-LT" w:eastAsia="en-US"/>
              </w:rPr>
              <w:t xml:space="preserve"> suorganizuota Lietuvos </w:t>
            </w:r>
            <w:r w:rsidR="00335D58">
              <w:rPr>
                <w:rFonts w:eastAsiaTheme="minorHAnsi" w:cs="Times New Roman"/>
                <w:sz w:val="24"/>
                <w:szCs w:val="24"/>
                <w:lang w:val="lt-LT" w:eastAsia="en-US"/>
              </w:rPr>
              <w:t>m</w:t>
            </w:r>
            <w:r w:rsidRPr="001B3088">
              <w:rPr>
                <w:rFonts w:eastAsiaTheme="minorHAnsi" w:cs="Times New Roman"/>
                <w:sz w:val="24"/>
                <w:szCs w:val="24"/>
                <w:lang w:val="lt-LT" w:eastAsia="en-US"/>
              </w:rPr>
              <w:t>edikų diena, apdovanoti nusipelnę medikai</w:t>
            </w:r>
            <w:bookmarkEnd w:id="0"/>
            <w:r w:rsidR="005A6552">
              <w:rPr>
                <w:rFonts w:eastAsiaTheme="minorHAnsi" w:cs="Times New Roman"/>
                <w:sz w:val="24"/>
                <w:szCs w:val="24"/>
                <w:lang w:val="lt-LT"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F955" w14:textId="5E215F7B" w:rsidR="00AA6D8E" w:rsidRPr="001B3088" w:rsidRDefault="00276C25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1F82" w14:textId="77777777" w:rsidR="00AA6D8E" w:rsidRPr="001B3088" w:rsidRDefault="00276C25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ab/>
              <w:t>5935,00</w:t>
            </w:r>
          </w:p>
          <w:p w14:paraId="319D28DE" w14:textId="3764D1D0" w:rsidR="00B82309" w:rsidRPr="005A6552" w:rsidRDefault="00B82309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lt-LT"/>
              </w:rPr>
            </w:pPr>
            <w:r w:rsidRPr="005A6552">
              <w:rPr>
                <w:rFonts w:cs="Times New Roman"/>
                <w:b/>
                <w:bCs/>
                <w:sz w:val="24"/>
                <w:szCs w:val="24"/>
                <w:lang w:val="lt-LT"/>
              </w:rPr>
              <w:t>(65,00 likutis)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9134" w14:textId="4456BD8C" w:rsidR="00AA6D8E" w:rsidRPr="001B3088" w:rsidRDefault="00AA6D8E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BA0F05">
              <w:rPr>
                <w:sz w:val="24"/>
                <w:szCs w:val="24"/>
                <w:lang w:val="lt-LT"/>
              </w:rPr>
              <w:t>Kaišiadorių rajono savivaldybės bendruomenės sveikatos taryba</w:t>
            </w:r>
          </w:p>
        </w:tc>
      </w:tr>
      <w:tr w:rsidR="00B82309" w:rsidRPr="00BA0F05" w14:paraId="631E65DB" w14:textId="77777777" w:rsidTr="009E2035">
        <w:trPr>
          <w:trHeight w:val="565"/>
        </w:trPr>
        <w:tc>
          <w:tcPr>
            <w:tcW w:w="144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5EC7E" w14:textId="14BBF18A" w:rsidR="00B82309" w:rsidRPr="001B3088" w:rsidRDefault="008E2913" w:rsidP="009E2035">
            <w:pPr>
              <w:jc w:val="center"/>
              <w:rPr>
                <w:b/>
                <w:sz w:val="24"/>
                <w:szCs w:val="24"/>
                <w:lang w:val="lt-LT" w:eastAsia="lt-LT"/>
              </w:rPr>
            </w:pPr>
            <w:r>
              <w:rPr>
                <w:b/>
                <w:sz w:val="24"/>
                <w:szCs w:val="24"/>
                <w:lang w:val="lt-LT" w:eastAsia="en-US"/>
              </w:rPr>
              <w:t>6</w:t>
            </w:r>
            <w:r w:rsidR="00B82309" w:rsidRPr="001B3088">
              <w:rPr>
                <w:b/>
                <w:sz w:val="24"/>
                <w:szCs w:val="24"/>
                <w:lang w:val="lt-LT" w:eastAsia="en-US"/>
              </w:rPr>
              <w:t xml:space="preserve">. Savivaldybės strateginio veiklos plano priemonė </w:t>
            </w:r>
          </w:p>
        </w:tc>
      </w:tr>
      <w:tr w:rsidR="00B82309" w:rsidRPr="001B3088" w14:paraId="27AFD7D2" w14:textId="77777777" w:rsidTr="00B82309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36695A" w14:textId="4507873C" w:rsidR="00B82309" w:rsidRPr="001B3088" w:rsidRDefault="008E2913" w:rsidP="00AA6D8E">
            <w:pPr>
              <w:spacing w:line="256" w:lineRule="auto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>6</w:t>
            </w:r>
            <w:r w:rsidR="009E2035" w:rsidRPr="001B3088">
              <w:rPr>
                <w:rFonts w:cs="Times New Roman"/>
                <w:sz w:val="24"/>
                <w:szCs w:val="24"/>
                <w:lang w:val="lt-LT"/>
              </w:rPr>
              <w:t>.1.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14:paraId="62747457" w14:textId="19F5232E" w:rsidR="00B82309" w:rsidRPr="001B3088" w:rsidRDefault="009E2035" w:rsidP="00AA6D8E">
            <w:pPr>
              <w:snapToGrid w:val="0"/>
              <w:spacing w:line="256" w:lineRule="auto"/>
              <w:jc w:val="both"/>
              <w:rPr>
                <w:bCs/>
                <w:sz w:val="24"/>
                <w:szCs w:val="24"/>
                <w:lang w:val="lt-LT"/>
              </w:rPr>
            </w:pPr>
            <w:r w:rsidRPr="001B3088">
              <w:rPr>
                <w:bCs/>
                <w:sz w:val="24"/>
                <w:szCs w:val="24"/>
                <w:lang w:val="lt-LT" w:eastAsia="lt-LT"/>
              </w:rPr>
              <w:t>Vykdyti savivaldybės triukšmo prevencijos zonose  triukšmo stebėseną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014DC" w14:textId="12DC5DFE" w:rsidR="00B82309" w:rsidRPr="001B3088" w:rsidRDefault="009E2035" w:rsidP="00500141">
            <w:pPr>
              <w:widowControl/>
              <w:suppressAutoHyphens w:val="0"/>
              <w:overflowPunct/>
              <w:autoSpaceDE/>
              <w:autoSpaceDN w:val="0"/>
              <w:spacing w:line="256" w:lineRule="auto"/>
              <w:jc w:val="both"/>
              <w:rPr>
                <w:rFonts w:eastAsiaTheme="minorHAnsi" w:cs="Times New Roman"/>
                <w:b/>
                <w:bCs/>
                <w:sz w:val="24"/>
                <w:szCs w:val="24"/>
                <w:lang w:val="lt-LT" w:eastAsia="en-US"/>
              </w:rPr>
            </w:pPr>
            <w:r w:rsidRPr="001B3088">
              <w:rPr>
                <w:sz w:val="24"/>
                <w:szCs w:val="24"/>
                <w:lang w:val="lt-LT"/>
              </w:rPr>
              <w:t>Kaišiadorių rajono savivaldybės strateginio 2024–2026 metų veiklos plano, patvirtinto Kaišiadorių rajono savivaldybės tarybos 2024 m. vasario 15 d. sprendimu Nr. V17E-23 „Dėl Kaišiadorių rajono savivaldybės strateginio 2024–2026 metų veiklos plano patvirtinimo“</w:t>
            </w:r>
            <w:r w:rsidR="00335D58">
              <w:rPr>
                <w:sz w:val="24"/>
                <w:szCs w:val="24"/>
                <w:lang w:val="lt-LT"/>
              </w:rPr>
              <w:t>,</w:t>
            </w:r>
            <w:r w:rsidRPr="001B3088">
              <w:rPr>
                <w:sz w:val="24"/>
                <w:szCs w:val="24"/>
                <w:lang w:val="lt-LT"/>
              </w:rPr>
              <w:t xml:space="preserve"> 3.3-2-2 priemonė</w:t>
            </w:r>
            <w:r w:rsidR="008E2913">
              <w:rPr>
                <w:sz w:val="24"/>
                <w:szCs w:val="24"/>
                <w:lang w:val="lt-LT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FAF0" w14:textId="0C66EF2A" w:rsidR="00B82309" w:rsidRPr="001B3088" w:rsidRDefault="009E2035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15902,00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99CF" w14:textId="205347BD" w:rsidR="00B82309" w:rsidRPr="001B3088" w:rsidRDefault="009E2035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center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851F" w14:textId="134F7BDD" w:rsidR="00B82309" w:rsidRPr="001B3088" w:rsidRDefault="009E2035" w:rsidP="00AA6D8E">
            <w:pPr>
              <w:tabs>
                <w:tab w:val="center" w:pos="506"/>
                <w:tab w:val="right" w:pos="1012"/>
              </w:tabs>
              <w:snapToGrid w:val="0"/>
              <w:spacing w:line="256" w:lineRule="auto"/>
              <w:jc w:val="both"/>
              <w:rPr>
                <w:sz w:val="24"/>
                <w:szCs w:val="24"/>
              </w:rPr>
            </w:pPr>
            <w:r w:rsidRPr="001B3088">
              <w:rPr>
                <w:sz w:val="24"/>
                <w:szCs w:val="24"/>
              </w:rPr>
              <w:t xml:space="preserve">Kaišiadorių rajono savivaldybės </w:t>
            </w:r>
            <w:r w:rsidRPr="001B3088">
              <w:rPr>
                <w:sz w:val="24"/>
                <w:szCs w:val="24"/>
                <w:lang w:val="lt-LT"/>
              </w:rPr>
              <w:t>administracija</w:t>
            </w:r>
          </w:p>
        </w:tc>
      </w:tr>
      <w:tr w:rsidR="00AA6D8E" w:rsidRPr="001B3088" w14:paraId="2E45328B" w14:textId="77777777" w:rsidTr="00B82309">
        <w:trPr>
          <w:trHeight w:val="577"/>
        </w:trPr>
        <w:tc>
          <w:tcPr>
            <w:tcW w:w="10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925CD1" w14:textId="77777777" w:rsidR="00AA6D8E" w:rsidRPr="001B3088" w:rsidRDefault="00AA6D8E" w:rsidP="00AA6D8E">
            <w:pPr>
              <w:snapToGrid w:val="0"/>
              <w:jc w:val="right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b/>
                <w:sz w:val="24"/>
                <w:szCs w:val="24"/>
              </w:rPr>
              <w:t>IŠ VISO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FB24A" w14:textId="1793CD5D" w:rsidR="00AA6D8E" w:rsidRPr="001B3088" w:rsidRDefault="009E2035" w:rsidP="00AA6D8E">
            <w:pPr>
              <w:tabs>
                <w:tab w:val="center" w:pos="506"/>
                <w:tab w:val="right" w:pos="1012"/>
              </w:tabs>
              <w:snapToGrid w:val="0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>44254</w:t>
            </w:r>
            <w:r w:rsidR="00B82309" w:rsidRPr="001B3088">
              <w:rPr>
                <w:rFonts w:cs="Times New Roman"/>
                <w:sz w:val="24"/>
                <w:szCs w:val="24"/>
                <w:lang w:val="lt-LT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B6EE" w14:textId="5D990700" w:rsidR="00AA6D8E" w:rsidRPr="001B3088" w:rsidRDefault="00500141" w:rsidP="00AA6D8E">
            <w:pPr>
              <w:tabs>
                <w:tab w:val="center" w:pos="506"/>
                <w:tab w:val="right" w:pos="1012"/>
              </w:tabs>
              <w:snapToGrid w:val="0"/>
              <w:jc w:val="both"/>
              <w:rPr>
                <w:rFonts w:cs="Times New Roman"/>
                <w:sz w:val="24"/>
                <w:szCs w:val="24"/>
                <w:lang w:val="lt-LT"/>
              </w:rPr>
            </w:pPr>
            <w:r w:rsidRPr="001B3088">
              <w:rPr>
                <w:rFonts w:cs="Times New Roman"/>
                <w:sz w:val="24"/>
                <w:szCs w:val="24"/>
                <w:lang w:val="lt-LT"/>
              </w:rPr>
              <w:tab/>
              <w:t>2797</w:t>
            </w:r>
            <w:r w:rsidR="00B82309" w:rsidRPr="001B3088">
              <w:rPr>
                <w:rFonts w:cs="Times New Roman"/>
                <w:sz w:val="24"/>
                <w:szCs w:val="24"/>
                <w:lang w:val="lt-LT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A419" w14:textId="77777777" w:rsidR="00AA6D8E" w:rsidRPr="001B3088" w:rsidRDefault="00AA6D8E" w:rsidP="00AA6D8E">
            <w:pPr>
              <w:tabs>
                <w:tab w:val="center" w:pos="506"/>
                <w:tab w:val="right" w:pos="1012"/>
              </w:tabs>
              <w:snapToGrid w:val="0"/>
              <w:jc w:val="both"/>
              <w:rPr>
                <w:rFonts w:cs="Times New Roman"/>
                <w:sz w:val="24"/>
                <w:szCs w:val="24"/>
                <w:shd w:val="clear" w:color="auto" w:fill="FAFAFA"/>
                <w:lang w:val="lt-LT"/>
              </w:rPr>
            </w:pPr>
          </w:p>
        </w:tc>
      </w:tr>
    </w:tbl>
    <w:p w14:paraId="2FB0C1B5" w14:textId="77777777" w:rsidR="007104A8" w:rsidRPr="00FA6CE8" w:rsidRDefault="00850FEF" w:rsidP="009C464F">
      <w:pPr>
        <w:jc w:val="center"/>
        <w:rPr>
          <w:sz w:val="24"/>
          <w:szCs w:val="24"/>
          <w:lang w:val="lt-LT"/>
        </w:rPr>
      </w:pPr>
      <w:r w:rsidRPr="001B3088">
        <w:rPr>
          <w:sz w:val="24"/>
          <w:szCs w:val="24"/>
          <w:lang w:val="lt-LT"/>
        </w:rPr>
        <w:t>__</w:t>
      </w:r>
      <w:r>
        <w:rPr>
          <w:sz w:val="24"/>
          <w:szCs w:val="24"/>
          <w:lang w:val="lt-LT"/>
        </w:rPr>
        <w:t>_____________</w:t>
      </w:r>
    </w:p>
    <w:p w14:paraId="3DC05976" w14:textId="77777777" w:rsidR="00C627EC" w:rsidRPr="00FA6CE8" w:rsidRDefault="00C627EC">
      <w:pPr>
        <w:jc w:val="center"/>
        <w:rPr>
          <w:sz w:val="24"/>
          <w:szCs w:val="24"/>
          <w:lang w:val="lt-LT"/>
        </w:rPr>
      </w:pPr>
    </w:p>
    <w:sectPr w:rsidR="00C627EC" w:rsidRPr="00FA6CE8" w:rsidSect="00FD09EA">
      <w:headerReference w:type="default" r:id="rId10"/>
      <w:headerReference w:type="first" r:id="rId11"/>
      <w:pgSz w:w="16838" w:h="11906" w:orient="landscape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792A7" w14:textId="77777777" w:rsidR="008B37C8" w:rsidRDefault="008B37C8" w:rsidP="00304B01">
      <w:r>
        <w:separator/>
      </w:r>
    </w:p>
  </w:endnote>
  <w:endnote w:type="continuationSeparator" w:id="0">
    <w:p w14:paraId="79BFDEFD" w14:textId="77777777" w:rsidR="008B37C8" w:rsidRDefault="008B37C8" w:rsidP="0030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R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8348C" w14:textId="77777777" w:rsidR="008B37C8" w:rsidRDefault="008B37C8" w:rsidP="00304B01">
      <w:r>
        <w:separator/>
      </w:r>
    </w:p>
  </w:footnote>
  <w:footnote w:type="continuationSeparator" w:id="0">
    <w:p w14:paraId="4D42CD74" w14:textId="77777777" w:rsidR="008B37C8" w:rsidRDefault="008B37C8" w:rsidP="00304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48967082"/>
      <w:docPartObj>
        <w:docPartGallery w:val="Page Numbers (Top of Page)"/>
        <w:docPartUnique/>
      </w:docPartObj>
    </w:sdtPr>
    <w:sdtContent>
      <w:p w14:paraId="5EB524A1" w14:textId="59DF1202" w:rsidR="00FD09EA" w:rsidRDefault="00FD09E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18F41A00" w14:textId="77777777" w:rsidR="00FD09EA" w:rsidRDefault="00FD09E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7924587"/>
      <w:docPartObj>
        <w:docPartGallery w:val="Page Numbers (Top of Page)"/>
        <w:docPartUnique/>
      </w:docPartObj>
    </w:sdtPr>
    <w:sdtContent>
      <w:p w14:paraId="632093A7" w14:textId="7FB85A0A" w:rsidR="00FD09EA" w:rsidRDefault="00FD09E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6CDB08EE" w14:textId="77777777" w:rsidR="007328E7" w:rsidRPr="007328E7" w:rsidRDefault="007328E7" w:rsidP="007328E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90A664A"/>
    <w:multiLevelType w:val="hybridMultilevel"/>
    <w:tmpl w:val="6F0A32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1EAA"/>
    <w:multiLevelType w:val="hybridMultilevel"/>
    <w:tmpl w:val="1E6A155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60D5B"/>
    <w:multiLevelType w:val="hybridMultilevel"/>
    <w:tmpl w:val="A4223FC6"/>
    <w:lvl w:ilvl="0" w:tplc="90BE7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13455"/>
    <w:multiLevelType w:val="hybridMultilevel"/>
    <w:tmpl w:val="D6922EB0"/>
    <w:lvl w:ilvl="0" w:tplc="0427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264610EC"/>
    <w:multiLevelType w:val="hybridMultilevel"/>
    <w:tmpl w:val="292495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13E9D"/>
    <w:multiLevelType w:val="hybridMultilevel"/>
    <w:tmpl w:val="7BACD0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3347B"/>
    <w:multiLevelType w:val="hybridMultilevel"/>
    <w:tmpl w:val="AD6C7BD2"/>
    <w:lvl w:ilvl="0" w:tplc="C0DC5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BA041C"/>
    <w:multiLevelType w:val="hybridMultilevel"/>
    <w:tmpl w:val="5B52BF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31A5C"/>
    <w:multiLevelType w:val="hybridMultilevel"/>
    <w:tmpl w:val="EF2AA9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37F66"/>
    <w:multiLevelType w:val="hybridMultilevel"/>
    <w:tmpl w:val="5A5859F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B73BC"/>
    <w:multiLevelType w:val="hybridMultilevel"/>
    <w:tmpl w:val="DA0488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12B4D"/>
    <w:multiLevelType w:val="hybridMultilevel"/>
    <w:tmpl w:val="67E42D9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D119D"/>
    <w:multiLevelType w:val="hybridMultilevel"/>
    <w:tmpl w:val="A9A4A50E"/>
    <w:lvl w:ilvl="0" w:tplc="E5FE03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46B97"/>
    <w:multiLevelType w:val="multilevel"/>
    <w:tmpl w:val="81EEE7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5" w15:restartNumberingAfterBreak="0">
    <w:nsid w:val="65680E13"/>
    <w:multiLevelType w:val="multilevel"/>
    <w:tmpl w:val="9C7238FE"/>
    <w:lvl w:ilvl="0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56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036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16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36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196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16" w:hanging="1800"/>
      </w:pPr>
      <w:rPr>
        <w:rFonts w:hint="default"/>
        <w:b w:val="0"/>
        <w:color w:val="auto"/>
      </w:rPr>
    </w:lvl>
  </w:abstractNum>
  <w:abstractNum w:abstractNumId="16" w15:restartNumberingAfterBreak="0">
    <w:nsid w:val="6AB31743"/>
    <w:multiLevelType w:val="hybridMultilevel"/>
    <w:tmpl w:val="5B52BF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C6BBC"/>
    <w:multiLevelType w:val="hybridMultilevel"/>
    <w:tmpl w:val="9AB47E9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94F80"/>
    <w:multiLevelType w:val="hybridMultilevel"/>
    <w:tmpl w:val="603C7A26"/>
    <w:lvl w:ilvl="0" w:tplc="0427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9" w15:restartNumberingAfterBreak="0">
    <w:nsid w:val="740F3EDE"/>
    <w:multiLevelType w:val="hybridMultilevel"/>
    <w:tmpl w:val="C090CD8A"/>
    <w:lvl w:ilvl="0" w:tplc="71B6B844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ind w:left="7254" w:hanging="180"/>
      </w:pPr>
    </w:lvl>
  </w:abstractNum>
  <w:num w:numId="1" w16cid:durableId="15026238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1019223">
    <w:abstractNumId w:val="5"/>
  </w:num>
  <w:num w:numId="3" w16cid:durableId="891307254">
    <w:abstractNumId w:val="3"/>
  </w:num>
  <w:num w:numId="4" w16cid:durableId="2067296065">
    <w:abstractNumId w:val="7"/>
  </w:num>
  <w:num w:numId="5" w16cid:durableId="977761866">
    <w:abstractNumId w:val="17"/>
  </w:num>
  <w:num w:numId="6" w16cid:durableId="853376009">
    <w:abstractNumId w:val="12"/>
  </w:num>
  <w:num w:numId="7" w16cid:durableId="1864052569">
    <w:abstractNumId w:val="11"/>
  </w:num>
  <w:num w:numId="8" w16cid:durableId="1657765162">
    <w:abstractNumId w:val="15"/>
  </w:num>
  <w:num w:numId="9" w16cid:durableId="19904726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252706">
    <w:abstractNumId w:val="6"/>
  </w:num>
  <w:num w:numId="11" w16cid:durableId="2049720248">
    <w:abstractNumId w:val="13"/>
  </w:num>
  <w:num w:numId="12" w16cid:durableId="1788694448">
    <w:abstractNumId w:val="9"/>
  </w:num>
  <w:num w:numId="13" w16cid:durableId="1897280667">
    <w:abstractNumId w:val="16"/>
  </w:num>
  <w:num w:numId="14" w16cid:durableId="1974942998">
    <w:abstractNumId w:val="8"/>
  </w:num>
  <w:num w:numId="15" w16cid:durableId="1092244973">
    <w:abstractNumId w:val="10"/>
  </w:num>
  <w:num w:numId="16" w16cid:durableId="1032531835">
    <w:abstractNumId w:val="18"/>
  </w:num>
  <w:num w:numId="17" w16cid:durableId="574975577">
    <w:abstractNumId w:val="4"/>
  </w:num>
  <w:num w:numId="18" w16cid:durableId="1647852607">
    <w:abstractNumId w:val="2"/>
  </w:num>
  <w:num w:numId="19" w16cid:durableId="4980743">
    <w:abstractNumId w:val="1"/>
  </w:num>
  <w:num w:numId="20" w16cid:durableId="78061157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A8"/>
    <w:rsid w:val="00007C2F"/>
    <w:rsid w:val="00011AA4"/>
    <w:rsid w:val="00021425"/>
    <w:rsid w:val="000240FC"/>
    <w:rsid w:val="00025D22"/>
    <w:rsid w:val="00052163"/>
    <w:rsid w:val="00073BA1"/>
    <w:rsid w:val="000805E4"/>
    <w:rsid w:val="000860AB"/>
    <w:rsid w:val="000A06A1"/>
    <w:rsid w:val="000C138E"/>
    <w:rsid w:val="000C264B"/>
    <w:rsid w:val="000C4849"/>
    <w:rsid w:val="000C6B9C"/>
    <w:rsid w:val="000D6F04"/>
    <w:rsid w:val="000D7AF6"/>
    <w:rsid w:val="00115226"/>
    <w:rsid w:val="0012742E"/>
    <w:rsid w:val="00142FA2"/>
    <w:rsid w:val="00154F6F"/>
    <w:rsid w:val="001576FD"/>
    <w:rsid w:val="00157ECE"/>
    <w:rsid w:val="00194A28"/>
    <w:rsid w:val="001A75FB"/>
    <w:rsid w:val="001B3088"/>
    <w:rsid w:val="001D706C"/>
    <w:rsid w:val="001F5C47"/>
    <w:rsid w:val="002042E7"/>
    <w:rsid w:val="0021352B"/>
    <w:rsid w:val="00232319"/>
    <w:rsid w:val="00244238"/>
    <w:rsid w:val="00247CFF"/>
    <w:rsid w:val="00251776"/>
    <w:rsid w:val="00276C25"/>
    <w:rsid w:val="002C3DBB"/>
    <w:rsid w:val="00300F71"/>
    <w:rsid w:val="00304B01"/>
    <w:rsid w:val="00335D58"/>
    <w:rsid w:val="0035217F"/>
    <w:rsid w:val="00363DCA"/>
    <w:rsid w:val="003758F5"/>
    <w:rsid w:val="003906FF"/>
    <w:rsid w:val="003A2543"/>
    <w:rsid w:val="003B478F"/>
    <w:rsid w:val="003C039C"/>
    <w:rsid w:val="0046601D"/>
    <w:rsid w:val="00470B5D"/>
    <w:rsid w:val="0047450A"/>
    <w:rsid w:val="004C343D"/>
    <w:rsid w:val="004C5A2A"/>
    <w:rsid w:val="00500141"/>
    <w:rsid w:val="0051000A"/>
    <w:rsid w:val="005152B7"/>
    <w:rsid w:val="00527ED3"/>
    <w:rsid w:val="005424F5"/>
    <w:rsid w:val="00544330"/>
    <w:rsid w:val="005454E4"/>
    <w:rsid w:val="00564333"/>
    <w:rsid w:val="0059079F"/>
    <w:rsid w:val="00591E42"/>
    <w:rsid w:val="005A5334"/>
    <w:rsid w:val="005A6552"/>
    <w:rsid w:val="005C4155"/>
    <w:rsid w:val="005D7777"/>
    <w:rsid w:val="005F75DD"/>
    <w:rsid w:val="00625C88"/>
    <w:rsid w:val="00642042"/>
    <w:rsid w:val="006604BD"/>
    <w:rsid w:val="006664A5"/>
    <w:rsid w:val="006B7402"/>
    <w:rsid w:val="006C0A61"/>
    <w:rsid w:val="006C50DC"/>
    <w:rsid w:val="006E166E"/>
    <w:rsid w:val="006E1F84"/>
    <w:rsid w:val="007104A8"/>
    <w:rsid w:val="007328E7"/>
    <w:rsid w:val="00750540"/>
    <w:rsid w:val="00763823"/>
    <w:rsid w:val="007745C2"/>
    <w:rsid w:val="00782444"/>
    <w:rsid w:val="007925DB"/>
    <w:rsid w:val="00797622"/>
    <w:rsid w:val="007D5FCD"/>
    <w:rsid w:val="007E065C"/>
    <w:rsid w:val="00823530"/>
    <w:rsid w:val="00842E58"/>
    <w:rsid w:val="00844BD5"/>
    <w:rsid w:val="00850FEF"/>
    <w:rsid w:val="008523C6"/>
    <w:rsid w:val="0088339B"/>
    <w:rsid w:val="00894DF4"/>
    <w:rsid w:val="008B37C8"/>
    <w:rsid w:val="008B4555"/>
    <w:rsid w:val="008C52AE"/>
    <w:rsid w:val="008C7ECA"/>
    <w:rsid w:val="008E1F21"/>
    <w:rsid w:val="008E2913"/>
    <w:rsid w:val="008E6F9A"/>
    <w:rsid w:val="009274AA"/>
    <w:rsid w:val="00932078"/>
    <w:rsid w:val="00991BFE"/>
    <w:rsid w:val="009C464F"/>
    <w:rsid w:val="009E2035"/>
    <w:rsid w:val="009F7EE0"/>
    <w:rsid w:val="00A11913"/>
    <w:rsid w:val="00A16DFA"/>
    <w:rsid w:val="00A41CA7"/>
    <w:rsid w:val="00A57B03"/>
    <w:rsid w:val="00A7315C"/>
    <w:rsid w:val="00AA6D8E"/>
    <w:rsid w:val="00AC5BD0"/>
    <w:rsid w:val="00AC7173"/>
    <w:rsid w:val="00AD0F3E"/>
    <w:rsid w:val="00AD33BE"/>
    <w:rsid w:val="00AD595D"/>
    <w:rsid w:val="00B310D7"/>
    <w:rsid w:val="00B326DD"/>
    <w:rsid w:val="00B4725F"/>
    <w:rsid w:val="00B500A5"/>
    <w:rsid w:val="00B62A16"/>
    <w:rsid w:val="00B80C9D"/>
    <w:rsid w:val="00B82309"/>
    <w:rsid w:val="00B85633"/>
    <w:rsid w:val="00B87576"/>
    <w:rsid w:val="00B910C6"/>
    <w:rsid w:val="00BA0F05"/>
    <w:rsid w:val="00BA2EEC"/>
    <w:rsid w:val="00BA3A52"/>
    <w:rsid w:val="00BC2CE5"/>
    <w:rsid w:val="00BD703C"/>
    <w:rsid w:val="00BF3BB2"/>
    <w:rsid w:val="00C04556"/>
    <w:rsid w:val="00C626F7"/>
    <w:rsid w:val="00C627EC"/>
    <w:rsid w:val="00C7035D"/>
    <w:rsid w:val="00C76AF3"/>
    <w:rsid w:val="00CB05CA"/>
    <w:rsid w:val="00CB4F3D"/>
    <w:rsid w:val="00CB7A77"/>
    <w:rsid w:val="00CC4E36"/>
    <w:rsid w:val="00CD39F2"/>
    <w:rsid w:val="00CE758E"/>
    <w:rsid w:val="00CF1AC6"/>
    <w:rsid w:val="00CF5145"/>
    <w:rsid w:val="00D62D30"/>
    <w:rsid w:val="00D66FAA"/>
    <w:rsid w:val="00D81B5D"/>
    <w:rsid w:val="00D92E06"/>
    <w:rsid w:val="00D941DF"/>
    <w:rsid w:val="00D9450C"/>
    <w:rsid w:val="00DA7688"/>
    <w:rsid w:val="00DC0229"/>
    <w:rsid w:val="00DE087D"/>
    <w:rsid w:val="00DE3F11"/>
    <w:rsid w:val="00DE63B9"/>
    <w:rsid w:val="00E32014"/>
    <w:rsid w:val="00E57201"/>
    <w:rsid w:val="00E90B86"/>
    <w:rsid w:val="00E92568"/>
    <w:rsid w:val="00E97E77"/>
    <w:rsid w:val="00EB5828"/>
    <w:rsid w:val="00ED245A"/>
    <w:rsid w:val="00ED6295"/>
    <w:rsid w:val="00F1241A"/>
    <w:rsid w:val="00F16308"/>
    <w:rsid w:val="00F22CE7"/>
    <w:rsid w:val="00F512C5"/>
    <w:rsid w:val="00F56A10"/>
    <w:rsid w:val="00F62318"/>
    <w:rsid w:val="00F65488"/>
    <w:rsid w:val="00F87BD8"/>
    <w:rsid w:val="00F92633"/>
    <w:rsid w:val="00FA6CE8"/>
    <w:rsid w:val="00FC149F"/>
    <w:rsid w:val="00FC5F02"/>
    <w:rsid w:val="00FD09EA"/>
    <w:rsid w:val="00FD4E20"/>
    <w:rsid w:val="00FE16CE"/>
    <w:rsid w:val="00FE765D"/>
    <w:rsid w:val="00FF0409"/>
    <w:rsid w:val="00FF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0E7D3"/>
  <w15:docId w15:val="{0E8C4C02-85DE-45D0-AD4D-02BBFE97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04A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RS"/>
      <w:sz w:val="20"/>
      <w:szCs w:val="20"/>
      <w:lang w:val="en-US" w:eastAsia="ar-SA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AA6D8E"/>
    <w:pPr>
      <w:keepNext/>
      <w:widowControl/>
      <w:suppressAutoHyphens w:val="0"/>
      <w:overflowPunct/>
      <w:autoSpaceDE/>
      <w:jc w:val="center"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7104A8"/>
    <w:rPr>
      <w:rFonts w:ascii="Times New Roman" w:hAnsi="Times New Roman" w:cs="Times New Roman" w:hint="default"/>
      <w:color w:val="000000"/>
      <w:u w:val="single"/>
    </w:rPr>
  </w:style>
  <w:style w:type="paragraph" w:styleId="Sraopastraipa">
    <w:name w:val="List Paragraph"/>
    <w:basedOn w:val="prastasis"/>
    <w:uiPriority w:val="34"/>
    <w:qFormat/>
    <w:rsid w:val="007104A8"/>
    <w:pPr>
      <w:ind w:left="720"/>
      <w:contextualSpacing/>
    </w:pPr>
  </w:style>
  <w:style w:type="paragraph" w:customStyle="1" w:styleId="ListParagraph1">
    <w:name w:val="List Paragraph1"/>
    <w:basedOn w:val="prastasis"/>
    <w:qFormat/>
    <w:rsid w:val="007104A8"/>
    <w:pPr>
      <w:widowControl/>
      <w:suppressAutoHyphens w:val="0"/>
      <w:overflowPunct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 w:eastAsia="en-US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3B478F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304B01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04B01"/>
    <w:rPr>
      <w:rFonts w:ascii="Times New Roman" w:eastAsia="Times New Roman" w:hAnsi="Times New Roman" w:cs="TimesRS"/>
      <w:sz w:val="20"/>
      <w:szCs w:val="20"/>
      <w:lang w:val="en-US" w:eastAsia="ar-SA"/>
    </w:rPr>
  </w:style>
  <w:style w:type="paragraph" w:styleId="Porat">
    <w:name w:val="footer"/>
    <w:basedOn w:val="prastasis"/>
    <w:link w:val="PoratDiagrama"/>
    <w:uiPriority w:val="99"/>
    <w:unhideWhenUsed/>
    <w:rsid w:val="00304B01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04B01"/>
    <w:rPr>
      <w:rFonts w:ascii="Times New Roman" w:eastAsia="Times New Roman" w:hAnsi="Times New Roman" w:cs="TimesRS"/>
      <w:sz w:val="20"/>
      <w:szCs w:val="20"/>
      <w:lang w:val="en-US"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50FEF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50FEF"/>
    <w:rPr>
      <w:rFonts w:ascii="Tahoma" w:eastAsia="Times New Roman" w:hAnsi="Tahoma" w:cs="Tahoma"/>
      <w:sz w:val="16"/>
      <w:szCs w:val="16"/>
      <w:lang w:val="en-US" w:eastAsia="ar-SA"/>
    </w:rPr>
  </w:style>
  <w:style w:type="paragraph" w:styleId="Pataisymai">
    <w:name w:val="Revision"/>
    <w:hidden/>
    <w:uiPriority w:val="99"/>
    <w:semiHidden/>
    <w:rsid w:val="009C464F"/>
    <w:pPr>
      <w:spacing w:after="0" w:line="240" w:lineRule="auto"/>
    </w:pPr>
    <w:rPr>
      <w:rFonts w:ascii="Times New Roman" w:eastAsia="Times New Roman" w:hAnsi="Times New Roman" w:cs="TimesRS"/>
      <w:sz w:val="20"/>
      <w:szCs w:val="20"/>
      <w:lang w:val="en-US" w:eastAsia="ar-SA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AA6D8E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Pagrindinistekstas">
    <w:name w:val="Body Text"/>
    <w:basedOn w:val="prastasis"/>
    <w:link w:val="PagrindinistekstasDiagrama"/>
    <w:unhideWhenUsed/>
    <w:rsid w:val="00D81B5D"/>
    <w:pPr>
      <w:widowControl/>
      <w:suppressAutoHyphens w:val="0"/>
      <w:overflowPunct/>
      <w:autoSpaceDE/>
      <w:jc w:val="both"/>
    </w:pPr>
    <w:rPr>
      <w:rFonts w:cs="Times New Roman"/>
      <w:sz w:val="24"/>
      <w:szCs w:val="24"/>
      <w:lang w:val="x-none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D81B5D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prastasiniatinklio">
    <w:name w:val="Normal (Web)"/>
    <w:basedOn w:val="prastasis"/>
    <w:uiPriority w:val="99"/>
    <w:semiHidden/>
    <w:unhideWhenUsed/>
    <w:rsid w:val="00C626F7"/>
    <w:pPr>
      <w:widowControl/>
      <w:suppressAutoHyphens w:val="0"/>
      <w:overflowPunct/>
      <w:autoSpaceDE/>
      <w:spacing w:before="100" w:beforeAutospacing="1" w:after="100" w:afterAutospacing="1"/>
    </w:pPr>
    <w:rPr>
      <w:rFonts w:cs="Times New Roman"/>
      <w:sz w:val="24"/>
      <w:szCs w:val="24"/>
      <w:lang w:val="lt-LT" w:eastAsia="lt-LT"/>
    </w:rPr>
  </w:style>
  <w:style w:type="paragraph" w:customStyle="1" w:styleId="FR1">
    <w:name w:val="FR1"/>
    <w:rsid w:val="008B4555"/>
    <w:pPr>
      <w:widowControl w:val="0"/>
      <w:autoSpaceDE w:val="0"/>
      <w:autoSpaceDN w:val="0"/>
      <w:adjustRightInd w:val="0"/>
      <w:spacing w:after="0"/>
      <w:ind w:left="640" w:right="600"/>
      <w:jc w:val="center"/>
    </w:pPr>
    <w:rPr>
      <w:rFonts w:ascii="Times New Roman" w:eastAsia="Times New Roman" w:hAnsi="Times New Roman" w:cs="Times New Roman"/>
      <w:noProof/>
      <w:sz w:val="18"/>
      <w:szCs w:val="18"/>
      <w:lang w:val="en-US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A0F0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A0F05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A0F05"/>
    <w:rPr>
      <w:rFonts w:ascii="Times New Roman" w:eastAsia="Times New Roman" w:hAnsi="Times New Roman" w:cs="TimesRS"/>
      <w:sz w:val="20"/>
      <w:szCs w:val="20"/>
      <w:lang w:val="en-US"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BA0F0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BA0F05"/>
    <w:rPr>
      <w:rFonts w:ascii="Times New Roman" w:eastAsia="Times New Roman" w:hAnsi="Times New Roman" w:cs="TimesRS"/>
      <w:b/>
      <w:bCs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isiadorys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isiadoriuligonin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2FEA0-CBFA-4BE7-ACD4-5995B5309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5502</Words>
  <Characters>3137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Danguolė Miliauskaitė</dc:creator>
  <cp:lastModifiedBy>Danguolė Miliauskaitė</cp:lastModifiedBy>
  <cp:revision>7</cp:revision>
  <cp:lastPrinted>2024-03-14T06:17:00Z</cp:lastPrinted>
  <dcterms:created xsi:type="dcterms:W3CDTF">2025-01-13T13:39:00Z</dcterms:created>
  <dcterms:modified xsi:type="dcterms:W3CDTF">2025-01-14T11:26:00Z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95c62c63bf5b42fc21a22235ddf9325002f1bc447d9d590c05a7fddc9955fadf</vt:lpwstr>
  </property>
</Properties>
</file>